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9F" w:rsidRPr="00640D30" w:rsidRDefault="008B069F" w:rsidP="008B069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69F" w:rsidRPr="00640D30" w:rsidRDefault="008B069F" w:rsidP="008B069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69F" w:rsidRPr="009B6213" w:rsidRDefault="009B6213" w:rsidP="009B621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B62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 18.12.2013 №06/145</w:t>
      </w:r>
    </w:p>
    <w:p w:rsidR="00D86819" w:rsidRDefault="00D86819" w:rsidP="00D86819">
      <w:pPr>
        <w:spacing w:after="0"/>
        <w:ind w:left="4962"/>
        <w:rPr>
          <w:rFonts w:ascii="Times New Roman" w:hAnsi="Times New Roman" w:cs="Times New Roman"/>
          <w:b/>
          <w:sz w:val="26"/>
          <w:szCs w:val="26"/>
        </w:rPr>
      </w:pPr>
    </w:p>
    <w:p w:rsidR="00D86819" w:rsidRDefault="00D86819" w:rsidP="00D86819">
      <w:pPr>
        <w:spacing w:after="0"/>
        <w:ind w:left="4962"/>
        <w:rPr>
          <w:rFonts w:ascii="Times New Roman" w:hAnsi="Times New Roman" w:cs="Times New Roman"/>
          <w:b/>
          <w:sz w:val="26"/>
          <w:szCs w:val="26"/>
        </w:rPr>
      </w:pPr>
    </w:p>
    <w:p w:rsidR="00640D30" w:rsidRPr="00D86819" w:rsidRDefault="00640D30" w:rsidP="00D86819">
      <w:pPr>
        <w:spacing w:after="0"/>
        <w:ind w:left="4962"/>
        <w:rPr>
          <w:rFonts w:ascii="Times New Roman" w:hAnsi="Times New Roman" w:cs="Times New Roman"/>
          <w:b/>
          <w:sz w:val="26"/>
          <w:szCs w:val="26"/>
        </w:rPr>
      </w:pPr>
      <w:r w:rsidRPr="00D86819">
        <w:rPr>
          <w:rFonts w:ascii="Times New Roman" w:hAnsi="Times New Roman" w:cs="Times New Roman"/>
          <w:b/>
          <w:sz w:val="26"/>
          <w:szCs w:val="26"/>
        </w:rPr>
        <w:t>Председателю Центрального Банка</w:t>
      </w:r>
    </w:p>
    <w:p w:rsidR="00640D30" w:rsidRPr="00D86819" w:rsidRDefault="00640D30" w:rsidP="00640D30">
      <w:pPr>
        <w:ind w:left="4962"/>
        <w:rPr>
          <w:rFonts w:ascii="Times New Roman" w:hAnsi="Times New Roman" w:cs="Times New Roman"/>
          <w:b/>
          <w:sz w:val="26"/>
          <w:szCs w:val="26"/>
        </w:rPr>
      </w:pPr>
      <w:r w:rsidRPr="00D86819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640D30" w:rsidRPr="00640D30" w:rsidRDefault="00640D30" w:rsidP="00640D30">
      <w:pPr>
        <w:ind w:left="4962"/>
        <w:rPr>
          <w:rFonts w:ascii="Times New Roman" w:hAnsi="Times New Roman" w:cs="Times New Roman"/>
          <w:b/>
          <w:sz w:val="26"/>
          <w:szCs w:val="26"/>
        </w:rPr>
      </w:pPr>
      <w:r w:rsidRPr="00D86819">
        <w:rPr>
          <w:rFonts w:ascii="Times New Roman" w:hAnsi="Times New Roman" w:cs="Times New Roman"/>
          <w:b/>
          <w:sz w:val="26"/>
          <w:szCs w:val="26"/>
        </w:rPr>
        <w:t>Н</w:t>
      </w:r>
      <w:r w:rsidR="00EA4BAC" w:rsidRPr="00D86819">
        <w:rPr>
          <w:rFonts w:ascii="Times New Roman" w:hAnsi="Times New Roman" w:cs="Times New Roman"/>
          <w:b/>
          <w:sz w:val="26"/>
          <w:szCs w:val="26"/>
        </w:rPr>
        <w:t>АБИУЛЛИНОЙ</w:t>
      </w:r>
      <w:r w:rsidRPr="00640D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819" w:rsidRPr="00D86819">
        <w:rPr>
          <w:rFonts w:ascii="Times New Roman" w:hAnsi="Times New Roman" w:cs="Times New Roman"/>
          <w:b/>
          <w:sz w:val="26"/>
          <w:szCs w:val="26"/>
        </w:rPr>
        <w:t>Э.С.</w:t>
      </w:r>
    </w:p>
    <w:p w:rsidR="00D86819" w:rsidRDefault="00D86819" w:rsidP="00640D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69F" w:rsidRPr="001F18A9" w:rsidRDefault="008B069F" w:rsidP="00640D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8A9">
        <w:rPr>
          <w:rFonts w:ascii="Times New Roman" w:hAnsi="Times New Roman" w:cs="Times New Roman"/>
          <w:b/>
          <w:sz w:val="26"/>
          <w:szCs w:val="26"/>
        </w:rPr>
        <w:t xml:space="preserve">Уважаемая Эльвира </w:t>
      </w:r>
      <w:proofErr w:type="spellStart"/>
      <w:r w:rsidRPr="001F18A9">
        <w:rPr>
          <w:rFonts w:ascii="Times New Roman" w:hAnsi="Times New Roman" w:cs="Times New Roman"/>
          <w:b/>
          <w:sz w:val="26"/>
          <w:szCs w:val="26"/>
        </w:rPr>
        <w:t>Сахипзадовна</w:t>
      </w:r>
      <w:proofErr w:type="spellEnd"/>
      <w:r w:rsidRPr="001F18A9">
        <w:rPr>
          <w:rFonts w:ascii="Times New Roman" w:hAnsi="Times New Roman" w:cs="Times New Roman"/>
          <w:b/>
          <w:sz w:val="26"/>
          <w:szCs w:val="26"/>
        </w:rPr>
        <w:t>!</w:t>
      </w:r>
    </w:p>
    <w:p w:rsidR="00375EA6" w:rsidRDefault="00375EA6" w:rsidP="00CC61F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5EA6">
        <w:rPr>
          <w:rFonts w:ascii="Times New Roman" w:hAnsi="Times New Roman" w:cs="Times New Roman"/>
          <w:bCs/>
          <w:sz w:val="26"/>
          <w:szCs w:val="26"/>
        </w:rPr>
        <w:t xml:space="preserve">В Ассоциацию региональных банков России обратился один из членов Ассоциации с </w:t>
      </w:r>
      <w:r w:rsidR="00432147">
        <w:rPr>
          <w:rFonts w:ascii="Times New Roman" w:hAnsi="Times New Roman" w:cs="Times New Roman"/>
          <w:bCs/>
          <w:sz w:val="26"/>
          <w:szCs w:val="26"/>
        </w:rPr>
        <w:t xml:space="preserve">комментариями и предложениями по совершенствованию показателей, отраженных в </w:t>
      </w:r>
      <w:r w:rsidR="00640D30">
        <w:rPr>
          <w:rFonts w:ascii="Times New Roman" w:hAnsi="Times New Roman" w:cs="Times New Roman"/>
          <w:color w:val="000000"/>
          <w:sz w:val="26"/>
          <w:szCs w:val="26"/>
        </w:rPr>
        <w:t>Письм</w:t>
      </w:r>
      <w:r w:rsidR="0043214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640D30">
        <w:rPr>
          <w:rFonts w:ascii="Times New Roman" w:hAnsi="Times New Roman" w:cs="Times New Roman"/>
          <w:color w:val="000000"/>
          <w:sz w:val="26"/>
          <w:szCs w:val="26"/>
        </w:rPr>
        <w:t xml:space="preserve"> Банка России от 15.04.2013г. №69-Т «О неотложных мерах надзорного реагирования» и Письм</w:t>
      </w:r>
      <w:r w:rsidR="0043214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640D30">
        <w:rPr>
          <w:rFonts w:ascii="Times New Roman" w:hAnsi="Times New Roman" w:cs="Times New Roman"/>
          <w:color w:val="000000"/>
          <w:sz w:val="26"/>
          <w:szCs w:val="26"/>
        </w:rPr>
        <w:t xml:space="preserve"> Банка России от 04.09.2013г. № 172-Т «О приоритетных мерах при</w:t>
      </w:r>
      <w:r w:rsidR="00387ADA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осуществлении банковского надз</w:t>
      </w:r>
      <w:r w:rsidR="00640D30">
        <w:rPr>
          <w:rFonts w:ascii="Times New Roman" w:hAnsi="Times New Roman" w:cs="Times New Roman"/>
          <w:color w:val="000000"/>
          <w:sz w:val="26"/>
          <w:szCs w:val="26"/>
        </w:rPr>
        <w:t>ора»</w:t>
      </w:r>
      <w:r w:rsidR="00EA4BAC">
        <w:rPr>
          <w:rFonts w:ascii="Times New Roman" w:hAnsi="Times New Roman" w:cs="Times New Roman"/>
          <w:color w:val="000000"/>
          <w:sz w:val="26"/>
          <w:szCs w:val="26"/>
        </w:rPr>
        <w:t xml:space="preserve"> (далее Письмо №69-Т и Письмо №172-Т соответственно)</w:t>
      </w:r>
      <w:r w:rsidRPr="00375E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321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87ADA" w:rsidRPr="008B069F" w:rsidRDefault="00387ADA" w:rsidP="00CC61F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1DC7">
        <w:rPr>
          <w:rFonts w:ascii="Times New Roman" w:eastAsia="Times New Roman" w:hAnsi="Times New Roman" w:cs="Times New Roman"/>
          <w:sz w:val="26"/>
          <w:szCs w:val="26"/>
        </w:rPr>
        <w:t xml:space="preserve">Письмом </w:t>
      </w:r>
      <w:r w:rsidR="00EA4BAC" w:rsidRPr="001E1DC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1E1DC7">
        <w:rPr>
          <w:rFonts w:ascii="Times New Roman" w:eastAsia="Times New Roman" w:hAnsi="Times New Roman" w:cs="Times New Roman"/>
          <w:sz w:val="26"/>
          <w:szCs w:val="26"/>
        </w:rPr>
        <w:t>69-Т предусмотрен ряд показателей и их пороговы</w:t>
      </w:r>
      <w:r w:rsidR="00C66BA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1DC7">
        <w:rPr>
          <w:rFonts w:ascii="Times New Roman" w:eastAsia="Times New Roman" w:hAnsi="Times New Roman" w:cs="Times New Roman"/>
          <w:sz w:val="26"/>
          <w:szCs w:val="26"/>
        </w:rPr>
        <w:t xml:space="preserve"> значени</w:t>
      </w:r>
      <w:r w:rsidR="00C66BA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E1DC7">
        <w:rPr>
          <w:rFonts w:ascii="Times New Roman" w:eastAsia="Times New Roman" w:hAnsi="Times New Roman" w:cs="Times New Roman"/>
          <w:sz w:val="26"/>
          <w:szCs w:val="26"/>
        </w:rPr>
        <w:t>, нарушение которых</w:t>
      </w:r>
      <w:r w:rsidR="00EA4BAC" w:rsidRPr="001E1D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1DC7">
        <w:rPr>
          <w:rFonts w:ascii="Times New Roman" w:eastAsia="Times New Roman" w:hAnsi="Times New Roman" w:cs="Times New Roman"/>
          <w:sz w:val="26"/>
          <w:szCs w:val="26"/>
        </w:rPr>
        <w:t xml:space="preserve">указывает на возможные проблемы у кредитной организации. </w:t>
      </w:r>
      <w:r w:rsidR="00CC61F3" w:rsidRPr="001E1DC7">
        <w:rPr>
          <w:rFonts w:ascii="Times New Roman" w:eastAsia="Times New Roman" w:hAnsi="Times New Roman" w:cs="Times New Roman"/>
          <w:sz w:val="26"/>
          <w:szCs w:val="26"/>
        </w:rPr>
        <w:t xml:space="preserve">Однако </w:t>
      </w:r>
      <w:r w:rsidR="00432147" w:rsidRPr="001E1DC7">
        <w:rPr>
          <w:rFonts w:ascii="Times New Roman" w:eastAsia="Times New Roman" w:hAnsi="Times New Roman" w:cs="Times New Roman"/>
          <w:sz w:val="26"/>
          <w:szCs w:val="26"/>
        </w:rPr>
        <w:t>ряд</w:t>
      </w:r>
      <w:r w:rsidR="00CC61F3" w:rsidRPr="001E1DC7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432147" w:rsidRPr="001E1DC7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CC61F3" w:rsidRPr="001E1DC7">
        <w:rPr>
          <w:rFonts w:ascii="Times New Roman" w:eastAsia="Times New Roman" w:hAnsi="Times New Roman" w:cs="Times New Roman"/>
          <w:sz w:val="26"/>
          <w:szCs w:val="26"/>
        </w:rPr>
        <w:t xml:space="preserve"> вызыва</w:t>
      </w:r>
      <w:r w:rsidR="00432147" w:rsidRPr="001E1DC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C61F3" w:rsidRPr="001E1DC7">
        <w:rPr>
          <w:rFonts w:ascii="Times New Roman" w:eastAsia="Times New Roman" w:hAnsi="Times New Roman" w:cs="Times New Roman"/>
          <w:sz w:val="26"/>
          <w:szCs w:val="26"/>
        </w:rPr>
        <w:t xml:space="preserve">т затруднения при </w:t>
      </w:r>
      <w:r w:rsidR="00C66BA3" w:rsidRPr="001E1DC7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="00CC61F3" w:rsidRPr="001E1DC7">
        <w:rPr>
          <w:rFonts w:ascii="Times New Roman" w:eastAsia="Times New Roman" w:hAnsi="Times New Roman" w:cs="Times New Roman"/>
          <w:sz w:val="26"/>
          <w:szCs w:val="26"/>
        </w:rPr>
        <w:t xml:space="preserve">соблюдении кредитными организациями в виду того, что </w:t>
      </w:r>
      <w:r w:rsidR="00432147" w:rsidRPr="001E1DC7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="00CC61F3" w:rsidRPr="001E1DC7">
        <w:rPr>
          <w:rFonts w:ascii="Times New Roman" w:eastAsia="Times New Roman" w:hAnsi="Times New Roman" w:cs="Times New Roman"/>
          <w:sz w:val="26"/>
          <w:szCs w:val="26"/>
        </w:rPr>
        <w:t xml:space="preserve">соблюдение не зависит </w:t>
      </w:r>
      <w:r w:rsidR="00432147" w:rsidRPr="001E1DC7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</w:t>
      </w:r>
      <w:r w:rsidR="00CC61F3" w:rsidRPr="001E1DC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32147" w:rsidRPr="001E1DC7">
        <w:rPr>
          <w:rFonts w:ascii="Times New Roman" w:eastAsia="Times New Roman" w:hAnsi="Times New Roman" w:cs="Times New Roman"/>
          <w:sz w:val="26"/>
          <w:szCs w:val="26"/>
        </w:rPr>
        <w:t xml:space="preserve">параметров деятельности самих </w:t>
      </w:r>
      <w:r w:rsidR="00CC61F3" w:rsidRPr="001E1DC7">
        <w:rPr>
          <w:rFonts w:ascii="Times New Roman" w:eastAsia="Times New Roman" w:hAnsi="Times New Roman" w:cs="Times New Roman"/>
          <w:sz w:val="26"/>
          <w:szCs w:val="26"/>
        </w:rPr>
        <w:t>кредитных организаций</w:t>
      </w:r>
      <w:r w:rsidR="00432147" w:rsidRPr="001E1D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0E61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32147">
        <w:rPr>
          <w:rFonts w:ascii="Times New Roman" w:eastAsia="Times New Roman" w:hAnsi="Times New Roman" w:cs="Times New Roman"/>
          <w:sz w:val="26"/>
          <w:szCs w:val="26"/>
        </w:rPr>
        <w:t xml:space="preserve">При этом несоблюдение данных показателей </w:t>
      </w:r>
      <w:r w:rsidR="009B6213">
        <w:rPr>
          <w:rFonts w:ascii="Times New Roman" w:eastAsia="Times New Roman" w:hAnsi="Times New Roman" w:cs="Times New Roman"/>
          <w:sz w:val="26"/>
          <w:szCs w:val="26"/>
        </w:rPr>
        <w:t>влечет</w:t>
      </w:r>
      <w:r w:rsidR="00432147">
        <w:rPr>
          <w:rFonts w:ascii="Times New Roman" w:eastAsia="Times New Roman" w:hAnsi="Times New Roman" w:cs="Times New Roman"/>
          <w:sz w:val="26"/>
          <w:szCs w:val="26"/>
        </w:rPr>
        <w:t xml:space="preserve"> значительные последствия для кредитной организации: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введени</w:t>
      </w:r>
      <w:r w:rsidR="0043214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2147">
        <w:rPr>
          <w:rFonts w:ascii="Times New Roman" w:eastAsia="Times New Roman" w:hAnsi="Times New Roman" w:cs="Times New Roman"/>
          <w:sz w:val="26"/>
          <w:szCs w:val="26"/>
        </w:rPr>
        <w:t>с ежедневной периодичностью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сдачи отчетности, </w:t>
      </w:r>
      <w:r w:rsidR="00432147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территориальное учреждение Банка России реестра обязательств перед вкладчиками и последующи</w:t>
      </w:r>
      <w:r w:rsidR="0043214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принудительны</w:t>
      </w:r>
      <w:r w:rsidR="0043214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мер</w:t>
      </w:r>
      <w:r w:rsidR="0043214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воздействия в случае непредставления отчетности и реестра в указанный в требованиях срок или при обнаружении угрозы интересам кредиторов и вкладчиков.</w:t>
      </w:r>
      <w:proofErr w:type="gramEnd"/>
    </w:p>
    <w:p w:rsidR="00E82FBA" w:rsidRPr="00B13714" w:rsidRDefault="00432147" w:rsidP="00C366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C30E55">
        <w:rPr>
          <w:rFonts w:ascii="Times New Roman" w:eastAsia="Times New Roman" w:hAnsi="Times New Roman" w:cs="Times New Roman"/>
          <w:sz w:val="26"/>
          <w:szCs w:val="26"/>
        </w:rPr>
        <w:t>апример</w:t>
      </w:r>
      <w:r w:rsidR="008B069F" w:rsidRPr="008B069F">
        <w:rPr>
          <w:rFonts w:ascii="Times New Roman" w:eastAsia="Times New Roman" w:hAnsi="Times New Roman" w:cs="Times New Roman"/>
          <w:sz w:val="26"/>
          <w:szCs w:val="26"/>
        </w:rPr>
        <w:t>, показатель №3 Приложения</w:t>
      </w:r>
      <w:r w:rsidR="00C30E5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8B069F" w:rsidRPr="008B069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13714">
        <w:rPr>
          <w:rFonts w:ascii="Times New Roman" w:eastAsia="Times New Roman" w:hAnsi="Times New Roman" w:cs="Times New Roman"/>
          <w:sz w:val="26"/>
          <w:szCs w:val="26"/>
        </w:rPr>
        <w:t>«С</w:t>
      </w:r>
      <w:r w:rsidR="008B069F" w:rsidRPr="008B069F">
        <w:rPr>
          <w:rFonts w:ascii="Times New Roman" w:eastAsia="Times New Roman" w:hAnsi="Times New Roman" w:cs="Times New Roman"/>
          <w:sz w:val="26"/>
          <w:szCs w:val="26"/>
        </w:rPr>
        <w:t>ущественное увеличение остатков на счетах и во вкладах физических лиц в целом по кредитной организации» (более 20% в месяц). На значени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8B069F" w:rsidRPr="008B069F">
        <w:rPr>
          <w:rFonts w:ascii="Times New Roman" w:eastAsia="Times New Roman" w:hAnsi="Times New Roman" w:cs="Times New Roman"/>
          <w:sz w:val="26"/>
          <w:szCs w:val="26"/>
        </w:rPr>
        <w:t xml:space="preserve"> данного показателя может сказаться эффект низкой базы: </w:t>
      </w:r>
      <w:r w:rsidR="00C30E55">
        <w:rPr>
          <w:rFonts w:ascii="Times New Roman" w:eastAsia="Times New Roman" w:hAnsi="Times New Roman" w:cs="Times New Roman"/>
          <w:sz w:val="26"/>
          <w:szCs w:val="26"/>
        </w:rPr>
        <w:t>кредитная организация</w:t>
      </w:r>
      <w:r w:rsidR="008B069F" w:rsidRPr="008B069F"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 w:rsidR="00C30E55">
        <w:rPr>
          <w:rFonts w:ascii="Times New Roman" w:eastAsia="Times New Roman" w:hAnsi="Times New Roman" w:cs="Times New Roman"/>
          <w:sz w:val="26"/>
          <w:szCs w:val="26"/>
        </w:rPr>
        <w:t>занимавшая</w:t>
      </w:r>
      <w:r w:rsidR="008B069F" w:rsidRPr="008B069F">
        <w:rPr>
          <w:rFonts w:ascii="Times New Roman" w:eastAsia="Times New Roman" w:hAnsi="Times New Roman" w:cs="Times New Roman"/>
          <w:sz w:val="26"/>
          <w:szCs w:val="26"/>
        </w:rPr>
        <w:t xml:space="preserve">ся ранее розницей, </w:t>
      </w:r>
      <w:r w:rsidR="00C30E55">
        <w:rPr>
          <w:rFonts w:ascii="Times New Roman" w:eastAsia="Times New Roman" w:hAnsi="Times New Roman" w:cs="Times New Roman"/>
          <w:sz w:val="26"/>
          <w:szCs w:val="26"/>
        </w:rPr>
        <w:t>приняла</w:t>
      </w:r>
      <w:r w:rsidR="008B069F" w:rsidRPr="008B069F">
        <w:rPr>
          <w:rFonts w:ascii="Times New Roman" w:eastAsia="Times New Roman" w:hAnsi="Times New Roman" w:cs="Times New Roman"/>
          <w:sz w:val="26"/>
          <w:szCs w:val="26"/>
        </w:rPr>
        <w:t xml:space="preserve"> и реализует стратегию развития в данном направлении. </w:t>
      </w:r>
      <w:r w:rsidR="00D30E4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13714" w:rsidRPr="00B13714">
        <w:rPr>
          <w:rFonts w:ascii="Times New Roman" w:eastAsia="Times New Roman" w:hAnsi="Times New Roman" w:cs="Times New Roman"/>
          <w:sz w:val="26"/>
          <w:szCs w:val="26"/>
        </w:rPr>
        <w:t>статки по счетам и вкладам физических лиц до начала реализации стратегии незначительны</w:t>
      </w:r>
      <w:r w:rsidR="00D30E4E">
        <w:rPr>
          <w:rFonts w:ascii="Times New Roman" w:eastAsia="Times New Roman" w:hAnsi="Times New Roman" w:cs="Times New Roman"/>
          <w:sz w:val="26"/>
          <w:szCs w:val="26"/>
        </w:rPr>
        <w:t>,</w:t>
      </w:r>
      <w:r w:rsidR="00B13714" w:rsidRPr="00B13714">
        <w:rPr>
          <w:rFonts w:ascii="Times New Roman" w:eastAsia="Times New Roman" w:hAnsi="Times New Roman" w:cs="Times New Roman"/>
          <w:sz w:val="26"/>
          <w:szCs w:val="26"/>
        </w:rPr>
        <w:t xml:space="preserve"> и любое увеличение средств физических лиц будет «существенным», </w:t>
      </w:r>
      <w:r w:rsidR="00B13714">
        <w:rPr>
          <w:rFonts w:ascii="Times New Roman" w:eastAsia="Times New Roman" w:hAnsi="Times New Roman" w:cs="Times New Roman"/>
          <w:sz w:val="26"/>
          <w:szCs w:val="26"/>
        </w:rPr>
        <w:t>вместе с тем</w:t>
      </w:r>
      <w:r w:rsidR="00B13714" w:rsidRPr="00B13714">
        <w:rPr>
          <w:rFonts w:ascii="Times New Roman" w:eastAsia="Times New Roman" w:hAnsi="Times New Roman" w:cs="Times New Roman"/>
          <w:sz w:val="26"/>
          <w:szCs w:val="26"/>
        </w:rPr>
        <w:t xml:space="preserve"> в абсолютном выражении привлеченная кредитной организацией сумма вкладов может быть ничтожно мала. В </w:t>
      </w:r>
      <w:r w:rsidR="00D30E4E">
        <w:rPr>
          <w:rFonts w:ascii="Times New Roman" w:eastAsia="Times New Roman" w:hAnsi="Times New Roman" w:cs="Times New Roman"/>
          <w:sz w:val="26"/>
          <w:szCs w:val="26"/>
        </w:rPr>
        <w:t xml:space="preserve">описанной </w:t>
      </w:r>
      <w:r w:rsidR="00B13714" w:rsidRPr="00B13714">
        <w:rPr>
          <w:rFonts w:ascii="Times New Roman" w:eastAsia="Times New Roman" w:hAnsi="Times New Roman" w:cs="Times New Roman"/>
          <w:sz w:val="26"/>
          <w:szCs w:val="26"/>
        </w:rPr>
        <w:t>ситуации показатель</w:t>
      </w:r>
      <w:r w:rsidR="00D30E4E">
        <w:rPr>
          <w:rFonts w:ascii="Times New Roman" w:eastAsia="Times New Roman" w:hAnsi="Times New Roman" w:cs="Times New Roman"/>
          <w:sz w:val="26"/>
          <w:szCs w:val="26"/>
        </w:rPr>
        <w:t xml:space="preserve"> №3</w:t>
      </w:r>
      <w:r w:rsidR="00B13714" w:rsidRPr="00B13714">
        <w:rPr>
          <w:rFonts w:ascii="Times New Roman" w:eastAsia="Times New Roman" w:hAnsi="Times New Roman" w:cs="Times New Roman"/>
          <w:sz w:val="26"/>
          <w:szCs w:val="26"/>
        </w:rPr>
        <w:t xml:space="preserve"> не свидетельствует о наличии у </w:t>
      </w:r>
      <w:r w:rsidR="00D30E4E">
        <w:rPr>
          <w:rFonts w:ascii="Times New Roman" w:eastAsia="Times New Roman" w:hAnsi="Times New Roman" w:cs="Times New Roman"/>
          <w:sz w:val="26"/>
          <w:szCs w:val="26"/>
        </w:rPr>
        <w:t>кредитной организации</w:t>
      </w:r>
      <w:r w:rsidR="00B13714" w:rsidRPr="00B13714">
        <w:rPr>
          <w:rFonts w:ascii="Times New Roman" w:eastAsia="Times New Roman" w:hAnsi="Times New Roman" w:cs="Times New Roman"/>
          <w:sz w:val="26"/>
          <w:szCs w:val="26"/>
        </w:rPr>
        <w:t xml:space="preserve"> каких-либо проблем, однако его несоблюдение </w:t>
      </w:r>
      <w:r w:rsidR="00D30E4E">
        <w:rPr>
          <w:rFonts w:ascii="Times New Roman" w:eastAsia="Times New Roman" w:hAnsi="Times New Roman" w:cs="Times New Roman"/>
          <w:sz w:val="26"/>
          <w:szCs w:val="26"/>
        </w:rPr>
        <w:t xml:space="preserve">делает возможным принятие территориальным управлением ЦБ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 w:rsidR="00D30E4E">
        <w:rPr>
          <w:rFonts w:ascii="Times New Roman" w:eastAsia="Times New Roman" w:hAnsi="Times New Roman" w:cs="Times New Roman"/>
          <w:sz w:val="26"/>
          <w:szCs w:val="26"/>
        </w:rPr>
        <w:t xml:space="preserve">решения предусматривающего </w:t>
      </w:r>
      <w:r w:rsidR="00642B7C">
        <w:rPr>
          <w:rFonts w:ascii="Times New Roman" w:eastAsia="Times New Roman" w:hAnsi="Times New Roman" w:cs="Times New Roman"/>
          <w:sz w:val="26"/>
          <w:szCs w:val="26"/>
        </w:rPr>
        <w:t>применение принудительных мер воздействия</w:t>
      </w:r>
      <w:r w:rsidR="00D30E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B7C">
        <w:rPr>
          <w:rFonts w:ascii="Times New Roman" w:eastAsia="Times New Roman" w:hAnsi="Times New Roman" w:cs="Times New Roman"/>
          <w:sz w:val="26"/>
          <w:szCs w:val="26"/>
        </w:rPr>
        <w:t>в отношении данной организации.</w:t>
      </w:r>
    </w:p>
    <w:p w:rsidR="008B069F" w:rsidRPr="008B069F" w:rsidRDefault="008B069F" w:rsidP="00C366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Показатель № 5 Приложения 2: </w:t>
      </w:r>
      <w:r w:rsidR="00642B7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>Соотношение суммарных оборотов за месяц по кассе (счет 20202) и по счетам по учету денежных сре</w:t>
      </w:r>
      <w:proofErr w:type="gramStart"/>
      <w:r w:rsidRPr="008B069F">
        <w:rPr>
          <w:rFonts w:ascii="Times New Roman" w:eastAsia="Times New Roman" w:hAnsi="Times New Roman" w:cs="Times New Roman"/>
          <w:sz w:val="26"/>
          <w:szCs w:val="26"/>
        </w:rPr>
        <w:t>дств в п</w:t>
      </w:r>
      <w:proofErr w:type="gramEnd"/>
      <w:r w:rsidRPr="008B069F">
        <w:rPr>
          <w:rFonts w:ascii="Times New Roman" w:eastAsia="Times New Roman" w:hAnsi="Times New Roman" w:cs="Times New Roman"/>
          <w:sz w:val="26"/>
          <w:szCs w:val="26"/>
        </w:rPr>
        <w:t>ути (счет 20209) к сумме оборотов по счетам, которые превышают величину активов-нетто</w:t>
      </w:r>
      <w:r w:rsidR="00642B7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(более 10%). </w:t>
      </w:r>
      <w:r w:rsidR="00C30E55" w:rsidRPr="001E1DC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E1DC7">
        <w:rPr>
          <w:rFonts w:ascii="Times New Roman" w:eastAsia="Times New Roman" w:hAnsi="Times New Roman" w:cs="Times New Roman"/>
          <w:sz w:val="26"/>
          <w:szCs w:val="26"/>
        </w:rPr>
        <w:t xml:space="preserve"> розничного банка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 xml:space="preserve">соблюдение 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>указан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>ного</w:t>
      </w:r>
      <w:r w:rsidRPr="00B80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 xml:space="preserve">соотношения </w:t>
      </w:r>
      <w:r w:rsidR="001E1DC7">
        <w:rPr>
          <w:rFonts w:ascii="Times New Roman" w:eastAsia="Times New Roman" w:hAnsi="Times New Roman" w:cs="Times New Roman"/>
          <w:sz w:val="26"/>
          <w:szCs w:val="26"/>
        </w:rPr>
        <w:t xml:space="preserve">может 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>вызват</w:t>
      </w:r>
      <w:r w:rsidR="001E1DC7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 xml:space="preserve"> затруднения</w:t>
      </w:r>
      <w:r w:rsidRPr="00B80D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80DE9" w:rsidRPr="00B80DE9">
        <w:rPr>
          <w:rFonts w:ascii="Times New Roman" w:eastAsia="Times New Roman" w:hAnsi="Times New Roman" w:cs="Times New Roman"/>
          <w:sz w:val="26"/>
          <w:szCs w:val="26"/>
        </w:rPr>
        <w:t>так как на величину данного показателя влияют не только реальное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>движение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денежных 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средств между клиентами и банком, но и 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кассовых узлов, 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>режим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работы касс, активност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корпоративного сектора</w:t>
      </w:r>
      <w:r w:rsidR="00B80D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069F" w:rsidRPr="008B069F" w:rsidRDefault="008B069F" w:rsidP="007B6D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069F">
        <w:rPr>
          <w:rFonts w:ascii="Times New Roman" w:eastAsia="Times New Roman" w:hAnsi="Times New Roman" w:cs="Times New Roman"/>
          <w:sz w:val="26"/>
          <w:szCs w:val="26"/>
        </w:rPr>
        <w:t>Сравнительно небольшие объемы привлеченных средств юридических лиц и их недостаточная активность по счетам приводят к тому, что единственным балансовым счетом, который теоретически может превысить величину активов-нетто, является корреспондентский счет. Зависимость от активов-нетто, заложенная в знаменатель, приводит к его скачкообразному изменению при минимальном изменении базовой величины, если она находится вблизи суммы активов-нетто (что не характерно для оценочных индикаторов)</w:t>
      </w:r>
      <w:r w:rsidR="001E1DC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DC7">
        <w:rPr>
          <w:rFonts w:ascii="Times New Roman" w:eastAsia="Times New Roman" w:hAnsi="Times New Roman" w:cs="Times New Roman"/>
          <w:sz w:val="26"/>
          <w:szCs w:val="26"/>
        </w:rPr>
        <w:t xml:space="preserve">Увеличение оборота </w:t>
      </w:r>
      <w:r w:rsidR="001E1DC7" w:rsidRPr="008B069F">
        <w:rPr>
          <w:rFonts w:ascii="Times New Roman" w:eastAsia="Times New Roman" w:hAnsi="Times New Roman" w:cs="Times New Roman"/>
          <w:sz w:val="26"/>
          <w:szCs w:val="26"/>
        </w:rPr>
        <w:t>по счетам юр</w:t>
      </w:r>
      <w:r w:rsidR="001E1DC7">
        <w:rPr>
          <w:rFonts w:ascii="Times New Roman" w:eastAsia="Times New Roman" w:hAnsi="Times New Roman" w:cs="Times New Roman"/>
          <w:sz w:val="26"/>
          <w:szCs w:val="26"/>
        </w:rPr>
        <w:t>идических</w:t>
      </w:r>
      <w:r w:rsidR="001E1DC7" w:rsidRPr="008B069F">
        <w:rPr>
          <w:rFonts w:ascii="Times New Roman" w:eastAsia="Times New Roman" w:hAnsi="Times New Roman" w:cs="Times New Roman"/>
          <w:sz w:val="26"/>
          <w:szCs w:val="26"/>
        </w:rPr>
        <w:t xml:space="preserve"> лиц </w:t>
      </w:r>
      <w:r w:rsidR="001E1DC7">
        <w:rPr>
          <w:rFonts w:ascii="Times New Roman" w:eastAsia="Times New Roman" w:hAnsi="Times New Roman" w:cs="Times New Roman"/>
          <w:sz w:val="26"/>
          <w:szCs w:val="26"/>
        </w:rPr>
        <w:t>на несколько рублей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DC7">
        <w:rPr>
          <w:rFonts w:ascii="Times New Roman" w:eastAsia="Times New Roman" w:hAnsi="Times New Roman" w:cs="Times New Roman"/>
          <w:sz w:val="26"/>
          <w:szCs w:val="26"/>
        </w:rPr>
        <w:t>приводит к тому, что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знаменатель резко возрастает, и наоборот.</w:t>
      </w:r>
    </w:p>
    <w:p w:rsidR="008B069F" w:rsidRPr="006061E4" w:rsidRDefault="006061E4" w:rsidP="007B6D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061E4">
        <w:rPr>
          <w:rFonts w:ascii="Times New Roman" w:eastAsia="Times New Roman" w:hAnsi="Times New Roman" w:cs="Times New Roman"/>
          <w:sz w:val="26"/>
          <w:szCs w:val="26"/>
        </w:rPr>
        <w:t xml:space="preserve">При анализе показателя 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>оборот по кассе (ч</w:t>
      </w:r>
      <w:r w:rsidRPr="006061E4">
        <w:rPr>
          <w:rFonts w:ascii="Times New Roman" w:eastAsia="Times New Roman" w:hAnsi="Times New Roman" w:cs="Times New Roman"/>
          <w:sz w:val="26"/>
          <w:szCs w:val="26"/>
        </w:rPr>
        <w:t>ислитель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) вызывает </w:t>
      </w:r>
      <w:r w:rsidRPr="006061E4">
        <w:rPr>
          <w:rFonts w:ascii="Times New Roman" w:eastAsia="Times New Roman" w:hAnsi="Times New Roman" w:cs="Times New Roman"/>
          <w:sz w:val="26"/>
          <w:szCs w:val="26"/>
        </w:rPr>
        <w:t xml:space="preserve">сомнение целесообразность включения 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>дебетового оборота,</w:t>
      </w:r>
      <w:r w:rsidR="00C66BA3">
        <w:rPr>
          <w:rFonts w:ascii="Times New Roman" w:eastAsia="Times New Roman" w:hAnsi="Times New Roman" w:cs="Times New Roman"/>
          <w:sz w:val="26"/>
          <w:szCs w:val="26"/>
        </w:rPr>
        <w:t xml:space="preserve"> т.е.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 поступлений с учетом всех движений внутри банка. В свете борьбы с </w:t>
      </w:r>
      <w:proofErr w:type="spellStart"/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>обналичиванием</w:t>
      </w:r>
      <w:proofErr w:type="spellEnd"/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 денежных средств </w:t>
      </w:r>
      <w:r w:rsidRPr="006061E4">
        <w:rPr>
          <w:rFonts w:ascii="Times New Roman" w:eastAsia="Times New Roman" w:hAnsi="Times New Roman" w:cs="Times New Roman"/>
          <w:sz w:val="26"/>
          <w:szCs w:val="26"/>
        </w:rPr>
        <w:t>было бы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 уместнее анализировать чистый расход из кассы, нежели совокупный приход. Внутрибанковские обороты по кассе, как показывает практика, могут составлять 50% и более от общего оборота, что увеличивает значение показателя как минимум вдвое. Если у </w:t>
      </w:r>
      <w:r w:rsidR="00174CA5" w:rsidRPr="006061E4">
        <w:rPr>
          <w:rFonts w:ascii="Times New Roman" w:eastAsia="Times New Roman" w:hAnsi="Times New Roman" w:cs="Times New Roman"/>
          <w:sz w:val="26"/>
          <w:szCs w:val="26"/>
        </w:rPr>
        <w:t>кредитной организации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 достаточно много кассовых узлов, удлиненный график работы относительно основного хранилища, существенное количество банкоматов - </w:t>
      </w:r>
      <w:proofErr w:type="spellStart"/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>внутрибанковские</w:t>
      </w:r>
      <w:proofErr w:type="spellEnd"/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 обороты по кассе будут </w:t>
      </w:r>
      <w:r w:rsidR="00174CA5" w:rsidRPr="006061E4">
        <w:rPr>
          <w:rFonts w:ascii="Times New Roman" w:eastAsia="Times New Roman" w:hAnsi="Times New Roman" w:cs="Times New Roman"/>
          <w:sz w:val="26"/>
          <w:szCs w:val="26"/>
        </w:rPr>
        <w:t xml:space="preserve">неизбежно 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высоки. И это отнюдь не свидетельствует о наличии у </w:t>
      </w:r>
      <w:proofErr w:type="gramStart"/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>банка</w:t>
      </w:r>
      <w:proofErr w:type="gramEnd"/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 каких-</w:t>
      </w:r>
      <w:r w:rsidR="00174CA5" w:rsidRPr="006061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либо проблем. Экономический смысл данного показателя </w:t>
      </w:r>
      <w:r w:rsidR="001E1DC7" w:rsidRPr="006061E4">
        <w:rPr>
          <w:rFonts w:ascii="Times New Roman" w:eastAsia="Times New Roman" w:hAnsi="Times New Roman" w:cs="Times New Roman"/>
          <w:sz w:val="26"/>
          <w:szCs w:val="26"/>
        </w:rPr>
        <w:t>представляется неочевид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>н</w:t>
      </w:r>
      <w:r w:rsidR="001E1DC7" w:rsidRPr="006061E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6061E4">
        <w:rPr>
          <w:rFonts w:ascii="Times New Roman" w:eastAsia="Times New Roman" w:hAnsi="Times New Roman" w:cs="Times New Roman"/>
          <w:sz w:val="26"/>
          <w:szCs w:val="26"/>
        </w:rPr>
        <w:t>.</w:t>
      </w:r>
      <w:r w:rsidR="008B069F" w:rsidRPr="006061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069F" w:rsidRPr="008B069F" w:rsidRDefault="008B069F" w:rsidP="007B6D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Показатель № 10 Приложения 2: 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>Существенный рост объема ссудной задолженности по кредитной организации в целом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(более 10%). При расчете показателя учитывается не только портфель ссуд юридическим и физическим лицам, но и требования к кредитным организациям. </w:t>
      </w:r>
      <w:r w:rsidRPr="00AE0262">
        <w:rPr>
          <w:rFonts w:ascii="Times New Roman" w:eastAsia="Times New Roman" w:hAnsi="Times New Roman" w:cs="Times New Roman"/>
          <w:sz w:val="26"/>
          <w:szCs w:val="26"/>
        </w:rPr>
        <w:t xml:space="preserve">Межбанковские кредиты являются 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>одним из основных</w:t>
      </w:r>
      <w:r w:rsidRPr="00AE02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AE0262">
        <w:rPr>
          <w:rFonts w:ascii="Times New Roman" w:eastAsia="Times New Roman" w:hAnsi="Times New Roman" w:cs="Times New Roman"/>
          <w:sz w:val="26"/>
          <w:szCs w:val="26"/>
        </w:rPr>
        <w:t xml:space="preserve"> краткосрочного доходного размещения избыточной ликвидности и вполне естественно, что при существенных увеличениях остатков на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счетах клиентов (в т.ч. и временных) соответственно возрастает и кредитный портфель 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>кредитной организации. Принимая во внимание вышеизложенное</w:t>
      </w:r>
      <w:r w:rsidR="006061E4">
        <w:rPr>
          <w:rFonts w:ascii="Times New Roman" w:eastAsia="Times New Roman" w:hAnsi="Times New Roman" w:cs="Times New Roman"/>
          <w:sz w:val="26"/>
          <w:szCs w:val="26"/>
        </w:rPr>
        <w:t>,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61E4">
        <w:rPr>
          <w:rFonts w:ascii="Times New Roman" w:eastAsia="Times New Roman" w:hAnsi="Times New Roman" w:cs="Times New Roman"/>
          <w:sz w:val="26"/>
          <w:szCs w:val="26"/>
        </w:rPr>
        <w:t xml:space="preserve">остается 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>неясн</w:t>
      </w:r>
      <w:r w:rsidR="006061E4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 xml:space="preserve"> экономический смысл данного показателя и его включение 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>в индикаторы повышенного внимания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069F" w:rsidRPr="008B069F" w:rsidRDefault="008B069F" w:rsidP="007B6D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Показатель № 11 Приложения 2: 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>Существенное изменение по данным отчетности по форме 0409117 «Данные о крупных ссудах» и по форме 0409118 «Данные о концентрации кредитного риска» состава крупных заемщиков, а также такое изменение состава заемщиков, при котором произошло существенное изменение объема крупных ссуд кредитной организации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. При неизменном составе заемщиков и объемах кредитования данный </w:t>
      </w:r>
      <w:proofErr w:type="gramStart"/>
      <w:r w:rsidRPr="008B069F">
        <w:rPr>
          <w:rFonts w:ascii="Times New Roman" w:eastAsia="Times New Roman" w:hAnsi="Times New Roman" w:cs="Times New Roman"/>
          <w:sz w:val="26"/>
          <w:szCs w:val="26"/>
        </w:rPr>
        <w:t>показатель</w:t>
      </w:r>
      <w:proofErr w:type="gramEnd"/>
      <w:r w:rsidR="00C66BA3" w:rsidRPr="00C66B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6BA3" w:rsidRPr="008B069F">
        <w:rPr>
          <w:rFonts w:ascii="Times New Roman" w:eastAsia="Times New Roman" w:hAnsi="Times New Roman" w:cs="Times New Roman"/>
          <w:sz w:val="26"/>
          <w:szCs w:val="26"/>
        </w:rPr>
        <w:t>тем не менее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может выйти за пределы установленного порогового значения ввиду формирования новых групп взаимосвязанных заемщиков</w:t>
      </w:r>
      <w:r w:rsidR="00174CA5">
        <w:rPr>
          <w:rFonts w:ascii="Times New Roman" w:eastAsia="Times New Roman" w:hAnsi="Times New Roman" w:cs="Times New Roman"/>
          <w:sz w:val="26"/>
          <w:szCs w:val="26"/>
        </w:rPr>
        <w:t xml:space="preserve"> или расформирования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действующих групп. Процессы движения капиталов заемщиков не подконтрольны </w:t>
      </w:r>
      <w:r w:rsidR="0001791A">
        <w:rPr>
          <w:rFonts w:ascii="Times New Roman" w:eastAsia="Times New Roman" w:hAnsi="Times New Roman" w:cs="Times New Roman"/>
          <w:sz w:val="26"/>
          <w:szCs w:val="26"/>
        </w:rPr>
        <w:t>кредитной организации</w:t>
      </w:r>
      <w:r w:rsidRPr="00AE0262">
        <w:rPr>
          <w:rFonts w:ascii="Times New Roman" w:eastAsia="Times New Roman" w:hAnsi="Times New Roman" w:cs="Times New Roman"/>
          <w:sz w:val="26"/>
          <w:szCs w:val="26"/>
        </w:rPr>
        <w:t>,</w:t>
      </w:r>
      <w:r w:rsidR="00AE0262">
        <w:rPr>
          <w:rFonts w:ascii="Times New Roman" w:eastAsia="Times New Roman" w:hAnsi="Times New Roman" w:cs="Times New Roman"/>
          <w:sz w:val="26"/>
          <w:szCs w:val="26"/>
        </w:rPr>
        <w:t xml:space="preserve"> в виду чего 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значение показателя не поддается управлению. При этом в отсутствие существенных изменений в активах значение показателя свидетельствует об обратном, </w:t>
      </w:r>
      <w:r w:rsidR="0001791A" w:rsidRPr="007B6D27">
        <w:rPr>
          <w:rFonts w:ascii="Times New Roman" w:eastAsia="Times New Roman" w:hAnsi="Times New Roman" w:cs="Times New Roman"/>
          <w:sz w:val="26"/>
          <w:szCs w:val="26"/>
        </w:rPr>
        <w:t>следовательно</w:t>
      </w:r>
      <w:r w:rsidR="00C66BA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91A" w:rsidRPr="00B13714">
        <w:rPr>
          <w:rFonts w:ascii="Times New Roman" w:eastAsia="Times New Roman" w:hAnsi="Times New Roman" w:cs="Times New Roman"/>
          <w:sz w:val="26"/>
          <w:szCs w:val="26"/>
        </w:rPr>
        <w:t xml:space="preserve">несоблюдение </w:t>
      </w:r>
      <w:r w:rsidR="007B6D27">
        <w:rPr>
          <w:rFonts w:ascii="Times New Roman" w:eastAsia="Times New Roman" w:hAnsi="Times New Roman" w:cs="Times New Roman"/>
          <w:sz w:val="26"/>
          <w:szCs w:val="26"/>
        </w:rPr>
        <w:t xml:space="preserve">показателя №11 </w:t>
      </w:r>
      <w:r w:rsidR="0001791A">
        <w:rPr>
          <w:rFonts w:ascii="Times New Roman" w:eastAsia="Times New Roman" w:hAnsi="Times New Roman" w:cs="Times New Roman"/>
          <w:sz w:val="26"/>
          <w:szCs w:val="26"/>
        </w:rPr>
        <w:t xml:space="preserve">делает возможным принятие территориальным управлением ЦБ решения предусматривающего применение принудительных мер воздействия в отношении данной организации. </w:t>
      </w:r>
    </w:p>
    <w:p w:rsidR="008B069F" w:rsidRPr="008B069F" w:rsidRDefault="008B069F" w:rsidP="007B6D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Показатель № 12 Приложения 2: </w:t>
      </w:r>
      <w:r w:rsidR="0001791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>Существенное изменение</w:t>
      </w:r>
      <w:r w:rsidR="00174C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по данным отчетности по форме 0409157 «Сведения о крупных кредиторах (вкладчиках) кредитной организации» состава крупных кредиторов (вкладчиков), а также такое изменение 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lastRenderedPageBreak/>
        <w:t>состава крупных кредиторов (вкладчиков), при котором произошло изменение объема сре</w:t>
      </w:r>
      <w:proofErr w:type="gramStart"/>
      <w:r w:rsidRPr="008B069F">
        <w:rPr>
          <w:rFonts w:ascii="Times New Roman" w:eastAsia="Times New Roman" w:hAnsi="Times New Roman" w:cs="Times New Roman"/>
          <w:sz w:val="26"/>
          <w:szCs w:val="26"/>
        </w:rPr>
        <w:t>дств кр</w:t>
      </w:r>
      <w:proofErr w:type="gramEnd"/>
      <w:r w:rsidRPr="008B069F">
        <w:rPr>
          <w:rFonts w:ascii="Times New Roman" w:eastAsia="Times New Roman" w:hAnsi="Times New Roman" w:cs="Times New Roman"/>
          <w:sz w:val="26"/>
          <w:szCs w:val="26"/>
        </w:rPr>
        <w:t>упных кредиторов (вкладчиков) кредитной организации</w:t>
      </w:r>
      <w:r w:rsidR="0001791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B6D27">
        <w:rPr>
          <w:rFonts w:ascii="Times New Roman" w:eastAsia="Times New Roman" w:hAnsi="Times New Roman" w:cs="Times New Roman"/>
          <w:sz w:val="26"/>
          <w:szCs w:val="26"/>
        </w:rPr>
        <w:t>Существенное влияние на величину данного показателя оказывают факторы аналогичные</w:t>
      </w:r>
      <w:r w:rsidRPr="007B6D27">
        <w:rPr>
          <w:rFonts w:ascii="Times New Roman" w:eastAsia="Times New Roman" w:hAnsi="Times New Roman" w:cs="Times New Roman"/>
          <w:sz w:val="26"/>
          <w:szCs w:val="26"/>
        </w:rPr>
        <w:t xml:space="preserve"> предыдущему показателю</w:t>
      </w:r>
      <w:r w:rsidR="007B6D27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7B6D27">
        <w:rPr>
          <w:rFonts w:ascii="Times New Roman" w:eastAsia="Times New Roman" w:hAnsi="Times New Roman" w:cs="Times New Roman"/>
          <w:sz w:val="26"/>
          <w:szCs w:val="26"/>
        </w:rPr>
        <w:t xml:space="preserve"> к несоблюдению порогового значения показателя могут привести изменения в составах групп в отсутствие фактических изменений в клиентской базе.</w:t>
      </w:r>
    </w:p>
    <w:p w:rsidR="00B13714" w:rsidRDefault="008B069F" w:rsidP="00264338">
      <w:pPr>
        <w:shd w:val="clear" w:color="auto" w:fill="FFFFFF"/>
        <w:spacing w:before="72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Письмо </w:t>
      </w:r>
      <w:r w:rsidR="0047400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172-Т оперирует </w:t>
      </w:r>
      <w:r w:rsidR="00474002">
        <w:rPr>
          <w:rFonts w:ascii="Times New Roman" w:eastAsia="Times New Roman" w:hAnsi="Times New Roman" w:cs="Times New Roman"/>
          <w:sz w:val="26"/>
          <w:szCs w:val="26"/>
        </w:rPr>
        <w:t>термином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«вовлеченность в сомнительные операции». При этом поняти</w:t>
      </w:r>
      <w:r w:rsidR="00C66BA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«сомнительные операции» </w:t>
      </w:r>
      <w:r w:rsidR="00474002">
        <w:rPr>
          <w:rFonts w:ascii="Times New Roman" w:eastAsia="Times New Roman" w:hAnsi="Times New Roman" w:cs="Times New Roman"/>
          <w:sz w:val="26"/>
          <w:szCs w:val="26"/>
        </w:rPr>
        <w:t xml:space="preserve">и «вовлеченность» в письме 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>не раскрыва</w:t>
      </w:r>
      <w:r w:rsidR="00C66BA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C66BA3"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 w:rsidR="006061E4">
        <w:rPr>
          <w:rFonts w:ascii="Times New Roman" w:eastAsia="Times New Roman" w:hAnsi="Times New Roman" w:cs="Times New Roman"/>
          <w:sz w:val="26"/>
          <w:szCs w:val="26"/>
        </w:rPr>
        <w:t xml:space="preserve">приводит к отсутствию единого понимания данного понятия у </w:t>
      </w:r>
      <w:r w:rsidR="00C66BA3">
        <w:rPr>
          <w:rFonts w:ascii="Times New Roman" w:eastAsia="Times New Roman" w:hAnsi="Times New Roman" w:cs="Times New Roman"/>
          <w:sz w:val="26"/>
          <w:szCs w:val="26"/>
        </w:rPr>
        <w:t>регулятора</w:t>
      </w:r>
      <w:r w:rsidR="006061E4">
        <w:rPr>
          <w:rFonts w:ascii="Times New Roman" w:eastAsia="Times New Roman" w:hAnsi="Times New Roman" w:cs="Times New Roman"/>
          <w:sz w:val="26"/>
          <w:szCs w:val="26"/>
        </w:rPr>
        <w:t xml:space="preserve"> и кредитных организаций.</w:t>
      </w:r>
      <w:r w:rsidR="006061E4" w:rsidRPr="008B069F"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этом меры, которые территориальные учреждения вправе принимать на основании Письма </w:t>
      </w:r>
      <w:r w:rsidR="0047400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172-Т, </w:t>
      </w:r>
      <w:r w:rsidR="006061E4">
        <w:rPr>
          <w:rFonts w:ascii="Times New Roman" w:eastAsia="Times New Roman" w:hAnsi="Times New Roman" w:cs="Times New Roman"/>
          <w:sz w:val="26"/>
          <w:szCs w:val="26"/>
        </w:rPr>
        <w:t>достаточно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5E6C">
        <w:rPr>
          <w:rFonts w:ascii="Times New Roman" w:eastAsia="Times New Roman" w:hAnsi="Times New Roman" w:cs="Times New Roman"/>
          <w:sz w:val="26"/>
          <w:szCs w:val="26"/>
        </w:rPr>
        <w:t>жесткие</w:t>
      </w:r>
      <w:r w:rsidRPr="008B069F">
        <w:rPr>
          <w:rFonts w:ascii="Times New Roman" w:eastAsia="Times New Roman" w:hAnsi="Times New Roman" w:cs="Times New Roman"/>
          <w:sz w:val="26"/>
          <w:szCs w:val="26"/>
        </w:rPr>
        <w:t xml:space="preserve">: ограничение на проведение отдельных операций, ходатайство об отзыве лицензии, ходатайство о запрете привлечения во вклады. </w:t>
      </w:r>
      <w:r w:rsidR="006061E4">
        <w:rPr>
          <w:rFonts w:ascii="Times New Roman" w:eastAsia="Times New Roman" w:hAnsi="Times New Roman" w:cs="Times New Roman"/>
          <w:sz w:val="26"/>
          <w:szCs w:val="26"/>
        </w:rPr>
        <w:t xml:space="preserve">Предлагается довести до сведения кредитных организаций </w:t>
      </w:r>
      <w:r w:rsidR="00F171BC">
        <w:rPr>
          <w:rFonts w:ascii="Times New Roman" w:eastAsia="Times New Roman" w:hAnsi="Times New Roman" w:cs="Times New Roman"/>
          <w:sz w:val="26"/>
          <w:szCs w:val="26"/>
        </w:rPr>
        <w:t>единое определение поняти</w:t>
      </w:r>
      <w:r w:rsidR="00C66BA3">
        <w:rPr>
          <w:rFonts w:ascii="Times New Roman" w:eastAsia="Times New Roman" w:hAnsi="Times New Roman" w:cs="Times New Roman"/>
          <w:sz w:val="26"/>
          <w:szCs w:val="26"/>
        </w:rPr>
        <w:t>й</w:t>
      </w:r>
      <w:r w:rsidR="00F171BC">
        <w:rPr>
          <w:rFonts w:ascii="Times New Roman" w:eastAsia="Times New Roman" w:hAnsi="Times New Roman" w:cs="Times New Roman"/>
          <w:sz w:val="26"/>
          <w:szCs w:val="26"/>
        </w:rPr>
        <w:t xml:space="preserve"> «сомнительные операции» и «вовлеченность».</w:t>
      </w:r>
    </w:p>
    <w:p w:rsidR="00F171BC" w:rsidRDefault="00B13714" w:rsidP="00F171BC">
      <w:pPr>
        <w:shd w:val="clear" w:color="auto" w:fill="FFFFFF"/>
        <w:spacing w:before="72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4338">
        <w:rPr>
          <w:rFonts w:ascii="Times New Roman" w:eastAsia="Times New Roman" w:hAnsi="Times New Roman" w:cs="Times New Roman"/>
          <w:sz w:val="26"/>
          <w:szCs w:val="26"/>
        </w:rPr>
        <w:t xml:space="preserve"> Безусловно, оздоровление банковского сектора является одной из важнейших на сегодняшний день задач. Однако вызывает опасения заложенная в </w:t>
      </w:r>
      <w:r w:rsidR="00264338" w:rsidRPr="00264338">
        <w:rPr>
          <w:rFonts w:ascii="Times New Roman" w:eastAsia="Times New Roman" w:hAnsi="Times New Roman" w:cs="Times New Roman"/>
          <w:sz w:val="26"/>
          <w:szCs w:val="26"/>
        </w:rPr>
        <w:t>Письмо №69-Т и Письмо №172-Т</w:t>
      </w:r>
      <w:r w:rsidRPr="00264338">
        <w:rPr>
          <w:rFonts w:ascii="Times New Roman" w:eastAsia="Times New Roman" w:hAnsi="Times New Roman" w:cs="Times New Roman"/>
          <w:sz w:val="26"/>
          <w:szCs w:val="26"/>
        </w:rPr>
        <w:t xml:space="preserve"> потенциальная возможность </w:t>
      </w:r>
      <w:r w:rsidR="00264338" w:rsidRPr="00264338">
        <w:rPr>
          <w:rFonts w:ascii="Times New Roman" w:eastAsia="Times New Roman" w:hAnsi="Times New Roman" w:cs="Times New Roman"/>
          <w:sz w:val="26"/>
          <w:szCs w:val="26"/>
        </w:rPr>
        <w:t>субъективности суждений о финансовом положении</w:t>
      </w:r>
      <w:r w:rsidRPr="00264338">
        <w:rPr>
          <w:rFonts w:ascii="Times New Roman" w:eastAsia="Times New Roman" w:hAnsi="Times New Roman" w:cs="Times New Roman"/>
          <w:sz w:val="26"/>
          <w:szCs w:val="26"/>
        </w:rPr>
        <w:t xml:space="preserve"> кредитной организации, о наличии угроз кредиторам и вкладчикам, и </w:t>
      </w:r>
      <w:r w:rsidR="00264338" w:rsidRPr="00264338">
        <w:rPr>
          <w:rFonts w:ascii="Times New Roman" w:eastAsia="Times New Roman" w:hAnsi="Times New Roman" w:cs="Times New Roman"/>
          <w:sz w:val="26"/>
          <w:szCs w:val="26"/>
        </w:rPr>
        <w:t>обоснованность</w:t>
      </w:r>
      <w:r w:rsidRPr="00264338">
        <w:rPr>
          <w:rFonts w:ascii="Times New Roman" w:eastAsia="Times New Roman" w:hAnsi="Times New Roman" w:cs="Times New Roman"/>
          <w:sz w:val="26"/>
          <w:szCs w:val="26"/>
        </w:rPr>
        <w:t xml:space="preserve"> решений, принимаемых на основании </w:t>
      </w:r>
      <w:r w:rsidR="00264338" w:rsidRPr="00264338">
        <w:rPr>
          <w:rFonts w:ascii="Times New Roman" w:eastAsia="Times New Roman" w:hAnsi="Times New Roman" w:cs="Times New Roman"/>
          <w:sz w:val="26"/>
          <w:szCs w:val="26"/>
        </w:rPr>
        <w:t>этих</w:t>
      </w:r>
      <w:r w:rsidRPr="00264338">
        <w:rPr>
          <w:rFonts w:ascii="Times New Roman" w:eastAsia="Times New Roman" w:hAnsi="Times New Roman" w:cs="Times New Roman"/>
          <w:sz w:val="26"/>
          <w:szCs w:val="26"/>
        </w:rPr>
        <w:t xml:space="preserve"> суждений. </w:t>
      </w:r>
      <w:r w:rsidR="00F171BC">
        <w:rPr>
          <w:rFonts w:ascii="Times New Roman" w:hAnsi="Times New Roman" w:cs="Times New Roman"/>
          <w:color w:val="000000"/>
          <w:sz w:val="26"/>
          <w:szCs w:val="26"/>
        </w:rPr>
        <w:t>Прошу Вас рассмотреть возможность внесения изменений в данные</w:t>
      </w:r>
      <w:r w:rsidR="00C66BA3">
        <w:rPr>
          <w:rFonts w:ascii="Times New Roman" w:hAnsi="Times New Roman" w:cs="Times New Roman"/>
          <w:color w:val="000000"/>
          <w:sz w:val="26"/>
          <w:szCs w:val="26"/>
        </w:rPr>
        <w:t xml:space="preserve"> нормативные акты с учетом вышеуказанных доводов.</w:t>
      </w:r>
      <w:r w:rsidR="00F171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B069F" w:rsidRPr="008B069F" w:rsidRDefault="008B069F" w:rsidP="008B069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B069F" w:rsidRPr="001F18A9" w:rsidRDefault="008B069F" w:rsidP="008B0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18A9">
        <w:rPr>
          <w:rFonts w:ascii="Times New Roman" w:hAnsi="Times New Roman" w:cs="Times New Roman"/>
          <w:sz w:val="26"/>
          <w:szCs w:val="26"/>
        </w:rPr>
        <w:t>С уважением,</w:t>
      </w:r>
    </w:p>
    <w:p w:rsidR="008B069F" w:rsidRPr="001F18A9" w:rsidRDefault="008B069F" w:rsidP="008B06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69F" w:rsidRPr="001F18A9" w:rsidRDefault="008B069F" w:rsidP="008B0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70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580"/>
        <w:gridCol w:w="2160"/>
        <w:gridCol w:w="2930"/>
      </w:tblGrid>
      <w:tr w:rsidR="008B069F" w:rsidRPr="001F18A9" w:rsidTr="004F5F5F">
        <w:tc>
          <w:tcPr>
            <w:tcW w:w="5580" w:type="dxa"/>
          </w:tcPr>
          <w:p w:rsidR="008B069F" w:rsidRPr="001F18A9" w:rsidRDefault="008B069F" w:rsidP="00F17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8A9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Ассоциации «Россия» </w:t>
            </w:r>
          </w:p>
        </w:tc>
        <w:tc>
          <w:tcPr>
            <w:tcW w:w="2160" w:type="dxa"/>
          </w:tcPr>
          <w:p w:rsidR="008B069F" w:rsidRPr="001F18A9" w:rsidRDefault="008B069F" w:rsidP="004F5F5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0" w:type="dxa"/>
          </w:tcPr>
          <w:p w:rsidR="008B069F" w:rsidRPr="001F18A9" w:rsidRDefault="008B069F" w:rsidP="004F5F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18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F18A9">
              <w:rPr>
                <w:rFonts w:ascii="Times New Roman" w:hAnsi="Times New Roman" w:cs="Times New Roman"/>
                <w:sz w:val="26"/>
                <w:szCs w:val="26"/>
              </w:rPr>
              <w:t>А.Г. Аксаков</w:t>
            </w:r>
          </w:p>
        </w:tc>
      </w:tr>
    </w:tbl>
    <w:p w:rsidR="008B069F" w:rsidRDefault="008B069F" w:rsidP="005D208C">
      <w:pPr>
        <w:pStyle w:val="Default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69F" w:rsidRDefault="008B069F" w:rsidP="008B069F">
      <w:pPr>
        <w:pStyle w:val="Defaul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A5" w:rsidRDefault="000E61A5" w:rsidP="008B069F">
      <w:pPr>
        <w:pStyle w:val="Defaul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A5" w:rsidRDefault="000E61A5" w:rsidP="008B069F">
      <w:pPr>
        <w:pStyle w:val="Defaul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A5" w:rsidRDefault="000E61A5" w:rsidP="008B069F">
      <w:pPr>
        <w:pStyle w:val="Defaul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A5" w:rsidRDefault="000E61A5" w:rsidP="008B069F">
      <w:pPr>
        <w:pStyle w:val="Defaul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A5" w:rsidRDefault="000E61A5" w:rsidP="008B069F">
      <w:pPr>
        <w:pStyle w:val="Defaul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BA3" w:rsidRDefault="00C66BA3" w:rsidP="008B069F">
      <w:pPr>
        <w:pStyle w:val="Defaul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BA3" w:rsidRDefault="00C66BA3" w:rsidP="008B069F">
      <w:pPr>
        <w:pStyle w:val="Defaul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61A5" w:rsidRDefault="000E61A5" w:rsidP="008B069F">
      <w:pPr>
        <w:pStyle w:val="Default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69F" w:rsidRPr="001F18A9" w:rsidRDefault="008B069F" w:rsidP="008B069F">
      <w:pPr>
        <w:pStyle w:val="Default"/>
        <w:spacing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69F" w:rsidRPr="001F18A9" w:rsidRDefault="008B069F" w:rsidP="00AD0A95">
      <w:pPr>
        <w:pStyle w:val="Defaul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1F18A9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</w:t>
      </w:r>
      <w:proofErr w:type="gramStart"/>
      <w:r w:rsidRPr="001F18A9">
        <w:rPr>
          <w:rFonts w:ascii="Times New Roman" w:eastAsia="Times New Roman" w:hAnsi="Times New Roman" w:cs="Times New Roman"/>
          <w:sz w:val="16"/>
          <w:szCs w:val="16"/>
          <w:lang w:eastAsia="ru-RU"/>
        </w:rPr>
        <w:t>:А</w:t>
      </w:r>
      <w:proofErr w:type="gramEnd"/>
      <w:r w:rsidRPr="001F18A9">
        <w:rPr>
          <w:rFonts w:ascii="Times New Roman" w:eastAsia="Times New Roman" w:hAnsi="Times New Roman" w:cs="Times New Roman"/>
          <w:sz w:val="16"/>
          <w:szCs w:val="16"/>
          <w:lang w:eastAsia="ru-RU"/>
        </w:rPr>
        <w:t>ндреева</w:t>
      </w:r>
      <w:proofErr w:type="spellEnd"/>
      <w:r w:rsidRPr="001F18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М.В.</w:t>
      </w:r>
    </w:p>
    <w:p w:rsidR="008B069F" w:rsidRPr="001F18A9" w:rsidRDefault="008B069F" w:rsidP="008B069F">
      <w:pPr>
        <w:pStyle w:val="Default"/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8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(495)785-29-90 </w:t>
      </w:r>
      <w:proofErr w:type="spellStart"/>
      <w:r w:rsidRPr="001F18A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proofErr w:type="spellEnd"/>
      <w:r w:rsidRPr="001F18A9">
        <w:rPr>
          <w:rFonts w:ascii="Times New Roman" w:eastAsia="Times New Roman" w:hAnsi="Times New Roman" w:cs="Times New Roman"/>
          <w:sz w:val="16"/>
          <w:szCs w:val="16"/>
          <w:lang w:eastAsia="ru-RU"/>
        </w:rPr>
        <w:t>. 113</w:t>
      </w:r>
    </w:p>
    <w:p w:rsidR="00D8399F" w:rsidRDefault="00D8399F"/>
    <w:sectPr w:rsidR="00D8399F" w:rsidSect="008B069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FreeSe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1461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069F"/>
    <w:rsid w:val="0001791A"/>
    <w:rsid w:val="000E61A5"/>
    <w:rsid w:val="00174CA5"/>
    <w:rsid w:val="001E1DC7"/>
    <w:rsid w:val="00245E6C"/>
    <w:rsid w:val="00264338"/>
    <w:rsid w:val="00375EA6"/>
    <w:rsid w:val="00387ADA"/>
    <w:rsid w:val="00432147"/>
    <w:rsid w:val="00474002"/>
    <w:rsid w:val="005D208C"/>
    <w:rsid w:val="006061E4"/>
    <w:rsid w:val="00640D30"/>
    <w:rsid w:val="00642B7C"/>
    <w:rsid w:val="007B6D27"/>
    <w:rsid w:val="008476D0"/>
    <w:rsid w:val="008B069F"/>
    <w:rsid w:val="008E46F0"/>
    <w:rsid w:val="009B07C0"/>
    <w:rsid w:val="009B6213"/>
    <w:rsid w:val="00AD0A95"/>
    <w:rsid w:val="00AE0262"/>
    <w:rsid w:val="00AE3F29"/>
    <w:rsid w:val="00B13714"/>
    <w:rsid w:val="00B764E3"/>
    <w:rsid w:val="00B80DE9"/>
    <w:rsid w:val="00BE2CF2"/>
    <w:rsid w:val="00C30E55"/>
    <w:rsid w:val="00C36652"/>
    <w:rsid w:val="00C66BA3"/>
    <w:rsid w:val="00CC61F3"/>
    <w:rsid w:val="00D30E4E"/>
    <w:rsid w:val="00D77FDC"/>
    <w:rsid w:val="00D8399F"/>
    <w:rsid w:val="00D86819"/>
    <w:rsid w:val="00E82FBA"/>
    <w:rsid w:val="00EA4BAC"/>
    <w:rsid w:val="00F1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9F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B069F"/>
    <w:pPr>
      <w:autoSpaceDE w:val="0"/>
      <w:autoSpaceDN w:val="0"/>
      <w:adjustRightInd w:val="0"/>
      <w:spacing w:line="240" w:lineRule="auto"/>
      <w:ind w:firstLine="0"/>
      <w:jc w:val="left"/>
    </w:pPr>
    <w:rPr>
      <w:rFonts w:ascii="FreeSetC" w:hAnsi="FreeSetC" w:cs="FreeSetC"/>
      <w:color w:val="000000"/>
      <w:sz w:val="24"/>
      <w:szCs w:val="24"/>
    </w:rPr>
  </w:style>
  <w:style w:type="paragraph" w:styleId="2">
    <w:name w:val="Body Text Indent 2"/>
    <w:basedOn w:val="a"/>
    <w:link w:val="20"/>
    <w:rsid w:val="008B06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0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Masha</cp:lastModifiedBy>
  <cp:revision>7</cp:revision>
  <cp:lastPrinted>2013-12-18T10:36:00Z</cp:lastPrinted>
  <dcterms:created xsi:type="dcterms:W3CDTF">2013-12-16T07:48:00Z</dcterms:created>
  <dcterms:modified xsi:type="dcterms:W3CDTF">2013-12-18T11:33:00Z</dcterms:modified>
</cp:coreProperties>
</file>