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2C" w:rsidRPr="00161DBD" w:rsidRDefault="00B60D75" w:rsidP="0061222C">
      <w:pPr>
        <w:ind w:left="-284" w:right="-285" w:firstLine="141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2.85pt;margin-top:6.05pt;width:413.5pt;height:98.25pt;z-index:251658240" stroked="f">
            <v:textbox style="mso-next-textbox:#_x0000_s1026">
              <w:txbxContent>
                <w:p w:rsidR="001E615D" w:rsidRPr="00EC1C7E" w:rsidRDefault="001E615D" w:rsidP="0061222C">
                  <w:pPr>
                    <w:tabs>
                      <w:tab w:val="left" w:pos="7938"/>
                    </w:tabs>
                    <w:adjustRightInd w:val="0"/>
                    <w:ind w:left="0" w:right="174" w:firstLine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Ответы, предоставленные</w:t>
                  </w:r>
                  <w:r w:rsidRPr="00EC1C7E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430D44">
                    <w:rPr>
                      <w:b/>
                      <w:sz w:val="26"/>
                      <w:szCs w:val="26"/>
                      <w:u w:val="single"/>
                    </w:rPr>
                    <w:t>Департаментом бухгалтерского учета и отчетности и Департаментом статистики ЦБ РФ,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EC1C7E">
                    <w:rPr>
                      <w:b/>
                      <w:sz w:val="26"/>
                      <w:szCs w:val="26"/>
                    </w:rPr>
                    <w:t>на вопрос</w:t>
                  </w:r>
                  <w:r>
                    <w:rPr>
                      <w:b/>
                      <w:sz w:val="26"/>
                      <w:szCs w:val="26"/>
                    </w:rPr>
                    <w:t>ы,</w:t>
                  </w:r>
                  <w:r w:rsidRPr="00EC1C7E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EC1C7E">
                    <w:rPr>
                      <w:b/>
                      <w:bCs/>
                      <w:sz w:val="26"/>
                      <w:szCs w:val="26"/>
                    </w:rPr>
                    <w:t>поступивши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е</w:t>
                  </w:r>
                  <w:r w:rsidRPr="00EC1C7E">
                    <w:rPr>
                      <w:b/>
                      <w:bCs/>
                      <w:sz w:val="26"/>
                      <w:szCs w:val="26"/>
                    </w:rPr>
                    <w:t xml:space="preserve"> в Оргкомитет от участнико</w:t>
                  </w:r>
                  <w:proofErr w:type="gramStart"/>
                  <w:r w:rsidRPr="00EC1C7E">
                    <w:rPr>
                      <w:b/>
                      <w:bCs/>
                      <w:sz w:val="26"/>
                      <w:szCs w:val="26"/>
                    </w:rPr>
                    <w:t xml:space="preserve">в к </w:t>
                  </w:r>
                  <w:r w:rsidRPr="00EC1C7E">
                    <w:rPr>
                      <w:b/>
                      <w:sz w:val="26"/>
                      <w:szCs w:val="26"/>
                    </w:rPr>
                    <w:t>встр</w:t>
                  </w:r>
                  <w:proofErr w:type="gramEnd"/>
                  <w:r w:rsidRPr="00EC1C7E">
                    <w:rPr>
                      <w:b/>
                      <w:sz w:val="26"/>
                      <w:szCs w:val="26"/>
                    </w:rPr>
                    <w:t xml:space="preserve">ече </w:t>
                  </w:r>
                  <w:r w:rsidRPr="00EC1C7E">
                    <w:rPr>
                      <w:b/>
                      <w:bCs/>
                      <w:sz w:val="26"/>
                      <w:szCs w:val="26"/>
                    </w:rPr>
                    <w:t>руководителей Банка России</w:t>
                  </w:r>
                  <w:r w:rsidRPr="00EC1C7E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EC1C7E">
                    <w:rPr>
                      <w:b/>
                      <w:bCs/>
                      <w:sz w:val="26"/>
                      <w:szCs w:val="26"/>
                    </w:rPr>
                    <w:t>с руководителями коммерческих банков 1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1</w:t>
                  </w:r>
                  <w:r w:rsidRPr="00EC1C7E">
                    <w:rPr>
                      <w:b/>
                      <w:bCs/>
                      <w:sz w:val="26"/>
                      <w:szCs w:val="26"/>
                    </w:rPr>
                    <w:t xml:space="preserve"> - 1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2</w:t>
                  </w:r>
                  <w:r w:rsidRPr="00EC1C7E">
                    <w:rPr>
                      <w:b/>
                      <w:bCs/>
                      <w:sz w:val="26"/>
                      <w:szCs w:val="26"/>
                    </w:rPr>
                    <w:t xml:space="preserve"> февраля 201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6</w:t>
                  </w:r>
                  <w:r w:rsidRPr="00EC1C7E">
                    <w:rPr>
                      <w:b/>
                      <w:bCs/>
                      <w:sz w:val="26"/>
                      <w:szCs w:val="26"/>
                    </w:rPr>
                    <w:t>г. в ОПК «БОР»</w:t>
                  </w:r>
                </w:p>
              </w:txbxContent>
            </v:textbox>
          </v:shape>
        </w:pict>
      </w:r>
      <w:r w:rsidR="0061222C">
        <w:rPr>
          <w:noProof/>
          <w:lang w:eastAsia="ru-RU"/>
        </w:rPr>
        <w:drawing>
          <wp:inline distT="0" distB="0" distL="0" distR="0">
            <wp:extent cx="11906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C15" w:rsidRPr="00F70CAB" w:rsidRDefault="00195C15" w:rsidP="00F70CAB">
      <w:pPr>
        <w:pStyle w:val="ConsPlusNormal"/>
        <w:tabs>
          <w:tab w:val="left" w:pos="851"/>
          <w:tab w:val="left" w:pos="993"/>
        </w:tabs>
        <w:spacing w:line="276" w:lineRule="auto"/>
        <w:ind w:firstLine="567"/>
        <w:jc w:val="both"/>
        <w:rPr>
          <w:i/>
          <w:sz w:val="26"/>
          <w:szCs w:val="26"/>
          <w:u w:val="single"/>
        </w:rPr>
      </w:pPr>
    </w:p>
    <w:p w:rsidR="00C95926" w:rsidRDefault="00195C15" w:rsidP="00F70CAB">
      <w:pPr>
        <w:pStyle w:val="ConsPlusNormal"/>
        <w:tabs>
          <w:tab w:val="left" w:pos="851"/>
          <w:tab w:val="left" w:pos="993"/>
        </w:tabs>
        <w:spacing w:line="276" w:lineRule="auto"/>
        <w:ind w:firstLine="567"/>
        <w:jc w:val="center"/>
        <w:rPr>
          <w:i/>
          <w:sz w:val="26"/>
          <w:szCs w:val="26"/>
          <w:u w:val="single"/>
        </w:rPr>
      </w:pPr>
      <w:r w:rsidRPr="00F70CAB">
        <w:rPr>
          <w:i/>
          <w:sz w:val="26"/>
          <w:szCs w:val="26"/>
          <w:u w:val="single"/>
        </w:rPr>
        <w:t>Блок «Вопросы».</w:t>
      </w:r>
    </w:p>
    <w:p w:rsidR="00F70CAB" w:rsidRPr="00F70CAB" w:rsidRDefault="00F70CAB" w:rsidP="00F70CAB">
      <w:pPr>
        <w:pStyle w:val="ConsPlusNormal"/>
        <w:tabs>
          <w:tab w:val="left" w:pos="851"/>
          <w:tab w:val="left" w:pos="993"/>
        </w:tabs>
        <w:spacing w:line="276" w:lineRule="auto"/>
        <w:ind w:firstLine="567"/>
        <w:jc w:val="center"/>
        <w:rPr>
          <w:i/>
          <w:sz w:val="26"/>
          <w:szCs w:val="26"/>
          <w:u w:val="single"/>
        </w:rPr>
      </w:pPr>
    </w:p>
    <w:p w:rsidR="009E4C6B" w:rsidRPr="00F70CAB" w:rsidRDefault="009E4C6B" w:rsidP="00F70CAB">
      <w:pPr>
        <w:numPr>
          <w:ilvl w:val="0"/>
          <w:numId w:val="11"/>
        </w:numPr>
        <w:tabs>
          <w:tab w:val="left" w:pos="851"/>
        </w:tabs>
        <w:spacing w:after="0"/>
        <w:ind w:firstLine="567"/>
        <w:rPr>
          <w:rFonts w:cs="Times New Roman"/>
          <w:sz w:val="26"/>
          <w:szCs w:val="26"/>
        </w:rPr>
      </w:pPr>
      <w:r w:rsidRPr="00F70CAB">
        <w:rPr>
          <w:rFonts w:cs="Times New Roman"/>
          <w:sz w:val="26"/>
          <w:szCs w:val="26"/>
        </w:rPr>
        <w:t xml:space="preserve">В соответствии с МСФО (IAS) 39 (п.43, 43A , AG76) и МСФО (IFRS) 13 (п.60) при первоначальном признании финансового актива или финансового обязательства, разница между справедливой стоимостью и ценой операции признается в отчетности МСФО банка в качестве прибыли или убытка в отчетный год совершения сделки. Согласно п.1.6 Положения ЦБР №446-П "О порядке определения доходов, расходов и прочего совокупного дохода кредитных организаций" кредитная организация должна отражать процентные доходы и расходы, в т.ч. по ценным бумагам, со сроком погашения более 1 года с применением ставки дисконтирования в отчете о финансовых результатах. Положение №446-П вступило в силу с 1 января 2016 года, но отраслевой стандарт по бухгалтерскому учету и применению такого дисконтирования предполагается выпустить в последующие годы. </w:t>
      </w:r>
      <w:proofErr w:type="gramStart"/>
      <w:r w:rsidRPr="00F70CAB">
        <w:rPr>
          <w:rFonts w:cs="Times New Roman"/>
          <w:sz w:val="26"/>
          <w:szCs w:val="26"/>
        </w:rPr>
        <w:t>Каким образом банк обязан отразить по ОФР возникающие разницы от первоначального признания финансовых инструментов сроком более одного года?</w:t>
      </w:r>
      <w:proofErr w:type="gramEnd"/>
    </w:p>
    <w:p w:rsidR="009E4C6B" w:rsidRPr="00F70CAB" w:rsidRDefault="009E4C6B" w:rsidP="00F70CAB">
      <w:pPr>
        <w:tabs>
          <w:tab w:val="left" w:pos="851"/>
        </w:tabs>
        <w:spacing w:after="0"/>
        <w:ind w:left="0" w:firstLine="567"/>
        <w:rPr>
          <w:rFonts w:cs="Times New Roman"/>
          <w:sz w:val="26"/>
          <w:szCs w:val="26"/>
        </w:rPr>
      </w:pPr>
      <w:r w:rsidRPr="00F70CAB">
        <w:rPr>
          <w:rFonts w:cs="Times New Roman"/>
          <w:sz w:val="26"/>
          <w:szCs w:val="26"/>
        </w:rPr>
        <w:t xml:space="preserve">1) Перспективно, только в отношении первоначального признания финансовых активов или финансовых обязательств, учтенных банком </w:t>
      </w:r>
      <w:proofErr w:type="gramStart"/>
      <w:r w:rsidRPr="00F70CAB">
        <w:rPr>
          <w:rFonts w:cs="Times New Roman"/>
          <w:sz w:val="26"/>
          <w:szCs w:val="26"/>
        </w:rPr>
        <w:t>с даты вступления</w:t>
      </w:r>
      <w:proofErr w:type="gramEnd"/>
      <w:r w:rsidRPr="00F70CAB">
        <w:rPr>
          <w:rFonts w:cs="Times New Roman"/>
          <w:sz w:val="26"/>
          <w:szCs w:val="26"/>
        </w:rPr>
        <w:t xml:space="preserve"> в силу отраслевого стандарта по учету дисконтирования.</w:t>
      </w:r>
    </w:p>
    <w:p w:rsidR="009E4C6B" w:rsidRPr="00F70CAB" w:rsidRDefault="009E4C6B" w:rsidP="00F70CAB">
      <w:pPr>
        <w:tabs>
          <w:tab w:val="left" w:pos="851"/>
        </w:tabs>
        <w:spacing w:after="0"/>
        <w:ind w:left="0" w:firstLine="567"/>
        <w:rPr>
          <w:rFonts w:cs="Times New Roman"/>
          <w:sz w:val="26"/>
          <w:szCs w:val="26"/>
        </w:rPr>
      </w:pPr>
      <w:r w:rsidRPr="00F70CAB">
        <w:rPr>
          <w:rFonts w:cs="Times New Roman"/>
          <w:sz w:val="26"/>
          <w:szCs w:val="26"/>
        </w:rPr>
        <w:t>2) Ретроспективно, в составе доходов /расходов соответствующих периодов (прошлых лет) в отношении первоначального признания финансовых активов или финансовых обязательств, учтенных на балансе банка с 1 января 2016 года до даты вступления в силу отраслевого стандарта по учету дисконтирования.</w:t>
      </w:r>
    </w:p>
    <w:p w:rsidR="009E4C6B" w:rsidRDefault="009E4C6B" w:rsidP="00F70CAB">
      <w:pPr>
        <w:tabs>
          <w:tab w:val="left" w:pos="851"/>
        </w:tabs>
        <w:spacing w:after="0"/>
        <w:ind w:left="0" w:firstLine="567"/>
        <w:rPr>
          <w:rFonts w:cs="Times New Roman"/>
          <w:sz w:val="26"/>
          <w:szCs w:val="26"/>
        </w:rPr>
      </w:pPr>
      <w:r w:rsidRPr="00F70CAB">
        <w:rPr>
          <w:rFonts w:cs="Times New Roman"/>
          <w:sz w:val="26"/>
          <w:szCs w:val="26"/>
        </w:rPr>
        <w:t>3) Эффект от первоначального признания финансового актива или финансового обязательства, поставленных на баланс банка в период с 1 января 2016 года необходимо будет признать в составе доходов/ расходов в отчетный год вступления в силу отраслевого стандарта по применению дисконтирования.</w:t>
      </w:r>
    </w:p>
    <w:p w:rsidR="00F70CAB" w:rsidRPr="009B67FC" w:rsidRDefault="009B67FC" w:rsidP="00F70CAB">
      <w:pPr>
        <w:tabs>
          <w:tab w:val="left" w:pos="851"/>
        </w:tabs>
        <w:spacing w:after="0"/>
        <w:ind w:left="0" w:firstLine="567"/>
        <w:rPr>
          <w:rFonts w:cs="Times New Roman"/>
          <w:b/>
          <w:sz w:val="26"/>
          <w:szCs w:val="26"/>
        </w:rPr>
      </w:pPr>
      <w:r w:rsidRPr="009B67FC">
        <w:rPr>
          <w:rFonts w:cs="Times New Roman"/>
          <w:b/>
          <w:sz w:val="26"/>
          <w:szCs w:val="26"/>
        </w:rPr>
        <w:t xml:space="preserve">Ответ </w:t>
      </w:r>
      <w:proofErr w:type="spellStart"/>
      <w:r w:rsidRPr="009B67FC">
        <w:rPr>
          <w:rFonts w:cs="Times New Roman"/>
          <w:b/>
          <w:sz w:val="26"/>
          <w:szCs w:val="26"/>
        </w:rPr>
        <w:t>ДБУиО</w:t>
      </w:r>
      <w:proofErr w:type="spellEnd"/>
    </w:p>
    <w:p w:rsidR="009B67FC" w:rsidRPr="009B67FC" w:rsidRDefault="009B67FC" w:rsidP="009B67FC">
      <w:pPr>
        <w:tabs>
          <w:tab w:val="left" w:pos="851"/>
          <w:tab w:val="left" w:pos="993"/>
        </w:tabs>
        <w:spacing w:after="0"/>
        <w:ind w:left="0" w:firstLine="567"/>
        <w:rPr>
          <w:rFonts w:cs="Times New Roman"/>
          <w:sz w:val="26"/>
          <w:szCs w:val="26"/>
        </w:rPr>
      </w:pPr>
      <w:proofErr w:type="gramStart"/>
      <w:r w:rsidRPr="009B67FC">
        <w:rPr>
          <w:rFonts w:cs="Times New Roman"/>
          <w:sz w:val="26"/>
          <w:szCs w:val="26"/>
        </w:rPr>
        <w:t>Применение отдельных норм Положения Банка России от 22.12.2014 № 446-П «О порядке определения доходов, расходов и прочего совокупного дохода кредитных организаций» в части использования метода дисконтирования для расчета процентных доходов и расходов по финансовым инструментам отложено до момента вступления в силу соответствующих нормативных актов Банка России, регулирующих бухгалтерский учет данных финансовых инструментов.</w:t>
      </w:r>
      <w:proofErr w:type="gramEnd"/>
    </w:p>
    <w:p w:rsidR="009B67FC" w:rsidRPr="009B67FC" w:rsidRDefault="009B67FC" w:rsidP="009B67FC">
      <w:pPr>
        <w:tabs>
          <w:tab w:val="left" w:pos="851"/>
          <w:tab w:val="left" w:pos="993"/>
        </w:tabs>
        <w:spacing w:after="0"/>
        <w:ind w:left="0" w:firstLine="567"/>
        <w:rPr>
          <w:rFonts w:cs="Times New Roman"/>
          <w:sz w:val="26"/>
          <w:szCs w:val="26"/>
        </w:rPr>
      </w:pPr>
      <w:r w:rsidRPr="009B67FC">
        <w:rPr>
          <w:rFonts w:cs="Times New Roman"/>
          <w:sz w:val="26"/>
          <w:szCs w:val="26"/>
        </w:rPr>
        <w:lastRenderedPageBreak/>
        <w:t>Банк России планирует подготовить проекты отраслевых стандартов бухгалтерского учета финансовых инструментов, основанные на требованиях МСФО (IFRS) 9 «Финансовые инструменты», которые будут содержать порядок бухгалтерского учета процентных доходов и расходов с применением метода дисконтирования.</w:t>
      </w:r>
    </w:p>
    <w:p w:rsidR="009B67FC" w:rsidRPr="009B67FC" w:rsidRDefault="009B67FC" w:rsidP="009B67FC">
      <w:pPr>
        <w:tabs>
          <w:tab w:val="left" w:pos="851"/>
          <w:tab w:val="left" w:pos="993"/>
        </w:tabs>
        <w:spacing w:after="0"/>
        <w:ind w:left="0" w:firstLine="567"/>
        <w:rPr>
          <w:rFonts w:cs="Times New Roman"/>
          <w:sz w:val="26"/>
          <w:szCs w:val="26"/>
        </w:rPr>
      </w:pPr>
      <w:r w:rsidRPr="009B67FC">
        <w:rPr>
          <w:rFonts w:cs="Times New Roman"/>
          <w:sz w:val="26"/>
          <w:szCs w:val="26"/>
        </w:rPr>
        <w:t>Для обеспечения полного соответствия МСФО порядок применения изменений в учетных принципах будет определен при подготовке указанных проектов нормативных актов Банка России.</w:t>
      </w:r>
    </w:p>
    <w:p w:rsidR="009B67FC" w:rsidRPr="009B67FC" w:rsidRDefault="009B67FC" w:rsidP="009B67FC">
      <w:pPr>
        <w:tabs>
          <w:tab w:val="left" w:pos="851"/>
          <w:tab w:val="left" w:pos="993"/>
        </w:tabs>
        <w:spacing w:after="0"/>
        <w:ind w:left="0" w:firstLine="567"/>
        <w:rPr>
          <w:rFonts w:cs="Times New Roman"/>
          <w:sz w:val="26"/>
          <w:szCs w:val="26"/>
        </w:rPr>
      </w:pPr>
      <w:r w:rsidRPr="009B67FC">
        <w:rPr>
          <w:rFonts w:cs="Times New Roman"/>
          <w:sz w:val="26"/>
          <w:szCs w:val="26"/>
        </w:rPr>
        <w:t>Аналогичный ответ содержится в «Разъяснениях по вопросам, связанным с применением Положения Банка России от 22.12.2014 № 446-П «О порядке определения доходов, расходов и прочего совокупного</w:t>
      </w:r>
      <w:r>
        <w:rPr>
          <w:rFonts w:cs="Times New Roman"/>
          <w:sz w:val="26"/>
          <w:szCs w:val="26"/>
        </w:rPr>
        <w:t xml:space="preserve"> </w:t>
      </w:r>
      <w:r w:rsidRPr="009B67FC">
        <w:rPr>
          <w:rFonts w:cs="Times New Roman"/>
          <w:sz w:val="26"/>
          <w:szCs w:val="26"/>
        </w:rPr>
        <w:t>дохода кредитных организаций» от 23.03.2015 (ответ на вопрос 1), опубликованных на официальном сайте Банка России в сети Интернет.</w:t>
      </w:r>
    </w:p>
    <w:p w:rsidR="009B67FC" w:rsidRDefault="009B67FC" w:rsidP="009B67FC">
      <w:pPr>
        <w:tabs>
          <w:tab w:val="left" w:pos="851"/>
          <w:tab w:val="left" w:pos="993"/>
        </w:tabs>
        <w:spacing w:after="0"/>
        <w:ind w:left="0" w:firstLine="567"/>
        <w:rPr>
          <w:rFonts w:cs="Times New Roman"/>
          <w:sz w:val="26"/>
          <w:szCs w:val="26"/>
        </w:rPr>
      </w:pPr>
    </w:p>
    <w:p w:rsidR="009E4C6B" w:rsidRDefault="009E4C6B" w:rsidP="00F70CAB">
      <w:pPr>
        <w:numPr>
          <w:ilvl w:val="0"/>
          <w:numId w:val="11"/>
        </w:numPr>
        <w:tabs>
          <w:tab w:val="left" w:pos="851"/>
        </w:tabs>
        <w:spacing w:after="0"/>
        <w:ind w:firstLine="567"/>
        <w:rPr>
          <w:rFonts w:cs="Times New Roman"/>
          <w:sz w:val="26"/>
          <w:szCs w:val="26"/>
        </w:rPr>
      </w:pPr>
      <w:proofErr w:type="gramStart"/>
      <w:r w:rsidRPr="00F70CAB">
        <w:rPr>
          <w:rFonts w:cs="Times New Roman"/>
          <w:sz w:val="26"/>
          <w:szCs w:val="26"/>
        </w:rPr>
        <w:t>Банк обязан в соответствии с Положением ЦБ РФ «О порядке создания, ведения и хранения баз данных на электронных носителях» от 21.02.2013 г. № 397-п хранить в электронном виде информацию об операциях и иных сделках, отраженных в регистрах аналитического и синтетического учета  в соответствии с Положением БР от 16.07.2012 г. № 385-п и т.д.</w:t>
      </w:r>
      <w:proofErr w:type="gramEnd"/>
      <w:r w:rsidRPr="00F70CAB">
        <w:rPr>
          <w:rFonts w:cs="Times New Roman"/>
          <w:sz w:val="26"/>
          <w:szCs w:val="26"/>
        </w:rPr>
        <w:t xml:space="preserve"> Созданная база позволяет хранить в электронном виде информацию по всем документам, перечисленным в Указании ЦБ РФ № 2346-</w:t>
      </w:r>
      <w:proofErr w:type="gramStart"/>
      <w:r w:rsidRPr="00F70CAB">
        <w:rPr>
          <w:rFonts w:cs="Times New Roman"/>
          <w:sz w:val="26"/>
          <w:szCs w:val="26"/>
        </w:rPr>
        <w:t>у(</w:t>
      </w:r>
      <w:proofErr w:type="gramEnd"/>
      <w:r w:rsidRPr="00F70CAB">
        <w:rPr>
          <w:rFonts w:cs="Times New Roman"/>
          <w:sz w:val="26"/>
          <w:szCs w:val="26"/>
        </w:rPr>
        <w:t xml:space="preserve">приложение № 1). Это указание разрешает кредитным организациям не распечатывать документы на бумажном носителе. Указанные выше нормативные документы ЦБ РФ отличаются только в части хранения, но при выполнении требований 397-п банк может в любое время распечатать документы и на бумажный носитель. Может ли банк, выполняя требования Положения № 397-п «О порядке создания, ведения и хранения баз данных на электронных носителях» от 21.02.2013 г., хранить документы, указанные в приложении 1 Указания № 2346-у, только в электронном виде? </w:t>
      </w:r>
    </w:p>
    <w:p w:rsidR="00A011A2" w:rsidRPr="00A011A2" w:rsidRDefault="00A011A2" w:rsidP="00A011A2">
      <w:pPr>
        <w:tabs>
          <w:tab w:val="left" w:pos="851"/>
        </w:tabs>
        <w:spacing w:after="0"/>
        <w:ind w:left="0" w:firstLine="567"/>
        <w:rPr>
          <w:rFonts w:cs="Times New Roman"/>
          <w:b/>
          <w:sz w:val="26"/>
          <w:szCs w:val="26"/>
        </w:rPr>
      </w:pPr>
      <w:r w:rsidRPr="00A011A2">
        <w:rPr>
          <w:rFonts w:cs="Times New Roman"/>
          <w:b/>
          <w:sz w:val="26"/>
          <w:szCs w:val="26"/>
        </w:rPr>
        <w:t xml:space="preserve">Ответ </w:t>
      </w:r>
      <w:proofErr w:type="spellStart"/>
      <w:r w:rsidRPr="00A011A2">
        <w:rPr>
          <w:rFonts w:cs="Times New Roman"/>
          <w:b/>
          <w:sz w:val="26"/>
          <w:szCs w:val="26"/>
        </w:rPr>
        <w:t>ДБУиО</w:t>
      </w:r>
      <w:proofErr w:type="spellEnd"/>
    </w:p>
    <w:p w:rsidR="00A011A2" w:rsidRPr="00A011A2" w:rsidRDefault="00A011A2" w:rsidP="00A011A2">
      <w:pPr>
        <w:tabs>
          <w:tab w:val="left" w:pos="851"/>
          <w:tab w:val="left" w:pos="993"/>
        </w:tabs>
        <w:spacing w:after="0"/>
        <w:ind w:left="0" w:firstLine="567"/>
        <w:rPr>
          <w:rFonts w:cs="Times New Roman"/>
          <w:sz w:val="26"/>
          <w:szCs w:val="26"/>
        </w:rPr>
      </w:pPr>
      <w:r w:rsidRPr="00A011A2">
        <w:rPr>
          <w:rFonts w:cs="Times New Roman"/>
          <w:sz w:val="26"/>
          <w:szCs w:val="26"/>
        </w:rPr>
        <w:t>В соответствии со статьей 9 Федерального закона от 06.12.2011 № 402- ФЗ «О бухгалтерском учете» первичный учетный документ составляется на бумажном носителе и (или) в виде электронного документа, подписанного электронной подписью.</w:t>
      </w:r>
    </w:p>
    <w:p w:rsidR="00A011A2" w:rsidRPr="00A011A2" w:rsidRDefault="00A011A2" w:rsidP="00A011A2">
      <w:pPr>
        <w:tabs>
          <w:tab w:val="left" w:pos="851"/>
          <w:tab w:val="left" w:pos="993"/>
        </w:tabs>
        <w:spacing w:after="0"/>
        <w:ind w:left="0" w:firstLine="567"/>
        <w:rPr>
          <w:rFonts w:cs="Times New Roman"/>
          <w:sz w:val="26"/>
          <w:szCs w:val="26"/>
        </w:rPr>
      </w:pPr>
      <w:proofErr w:type="gramStart"/>
      <w:r w:rsidRPr="00A011A2">
        <w:rPr>
          <w:rFonts w:cs="Times New Roman"/>
          <w:sz w:val="26"/>
          <w:szCs w:val="26"/>
        </w:rPr>
        <w:t>Указанием Банка России от 25.11.2009 № 2346-У «О хранении в кредитной организации в электронном виде отдельных документов, связанных с оформлением бухгалтерских, расчетных и кассовых операций при организации работ по ведению бухгалтерского учета» (далее - Указание № 2346-У) кредитным организациям предоставлено право хранения отдельных документов, связанных с оформлением бухгалтерских, расчетных и кассовых операций при организации работ по ведению бухгалтерского учета, в электронном виде.</w:t>
      </w:r>
      <w:proofErr w:type="gramEnd"/>
    </w:p>
    <w:p w:rsidR="00A011A2" w:rsidRPr="00A011A2" w:rsidRDefault="00A011A2" w:rsidP="00A011A2">
      <w:pPr>
        <w:tabs>
          <w:tab w:val="left" w:pos="851"/>
          <w:tab w:val="left" w:pos="993"/>
        </w:tabs>
        <w:spacing w:after="0"/>
        <w:ind w:left="0" w:firstLine="567"/>
        <w:rPr>
          <w:rFonts w:cs="Times New Roman"/>
          <w:sz w:val="26"/>
          <w:szCs w:val="26"/>
        </w:rPr>
      </w:pPr>
      <w:r w:rsidRPr="00A011A2">
        <w:rPr>
          <w:rFonts w:cs="Times New Roman"/>
          <w:sz w:val="26"/>
          <w:szCs w:val="26"/>
        </w:rPr>
        <w:lastRenderedPageBreak/>
        <w:t>Хранению в электронном виде в соответствии с Указанием № 2346-У</w:t>
      </w:r>
      <w:r>
        <w:rPr>
          <w:rFonts w:cs="Times New Roman"/>
          <w:sz w:val="26"/>
          <w:szCs w:val="26"/>
        </w:rPr>
        <w:t xml:space="preserve"> подлежат </w:t>
      </w:r>
      <w:r w:rsidRPr="00A011A2">
        <w:rPr>
          <w:rFonts w:cs="Times New Roman"/>
          <w:sz w:val="26"/>
          <w:szCs w:val="26"/>
        </w:rPr>
        <w:t>документы,</w:t>
      </w:r>
      <w:r>
        <w:rPr>
          <w:rFonts w:cs="Times New Roman"/>
          <w:sz w:val="26"/>
          <w:szCs w:val="26"/>
        </w:rPr>
        <w:t xml:space="preserve"> </w:t>
      </w:r>
      <w:r w:rsidRPr="00A011A2">
        <w:rPr>
          <w:rFonts w:cs="Times New Roman"/>
          <w:sz w:val="26"/>
          <w:szCs w:val="26"/>
        </w:rPr>
        <w:t>изначально</w:t>
      </w:r>
      <w:r>
        <w:rPr>
          <w:rFonts w:cs="Times New Roman"/>
          <w:sz w:val="26"/>
          <w:szCs w:val="26"/>
        </w:rPr>
        <w:t xml:space="preserve"> </w:t>
      </w:r>
      <w:r w:rsidRPr="00A011A2">
        <w:rPr>
          <w:rFonts w:cs="Times New Roman"/>
          <w:sz w:val="26"/>
          <w:szCs w:val="26"/>
        </w:rPr>
        <w:t>составленные</w:t>
      </w:r>
      <w:r>
        <w:rPr>
          <w:rFonts w:cs="Times New Roman"/>
          <w:sz w:val="26"/>
          <w:szCs w:val="26"/>
        </w:rPr>
        <w:t xml:space="preserve"> </w:t>
      </w:r>
      <w:r w:rsidRPr="00A011A2">
        <w:rPr>
          <w:rFonts w:cs="Times New Roman"/>
          <w:sz w:val="26"/>
          <w:szCs w:val="26"/>
        </w:rPr>
        <w:t>и</w:t>
      </w:r>
      <w:r>
        <w:rPr>
          <w:rFonts w:cs="Times New Roman"/>
          <w:sz w:val="26"/>
          <w:szCs w:val="26"/>
        </w:rPr>
        <w:t xml:space="preserve"> </w:t>
      </w:r>
      <w:r w:rsidRPr="00A011A2">
        <w:rPr>
          <w:rFonts w:cs="Times New Roman"/>
          <w:sz w:val="26"/>
          <w:szCs w:val="26"/>
        </w:rPr>
        <w:tab/>
        <w:t>(или)</w:t>
      </w:r>
      <w:r>
        <w:rPr>
          <w:rFonts w:cs="Times New Roman"/>
          <w:sz w:val="26"/>
          <w:szCs w:val="26"/>
        </w:rPr>
        <w:t xml:space="preserve"> поступившие в электронном виде, перечисленные в Приложении </w:t>
      </w:r>
      <w:r w:rsidRPr="00A011A2">
        <w:rPr>
          <w:rFonts w:cs="Times New Roman"/>
          <w:sz w:val="26"/>
          <w:szCs w:val="26"/>
        </w:rPr>
        <w:t>1 к Указанию № 2346-У.</w:t>
      </w:r>
    </w:p>
    <w:p w:rsidR="00A011A2" w:rsidRPr="00A011A2" w:rsidRDefault="00A011A2" w:rsidP="00A011A2">
      <w:pPr>
        <w:tabs>
          <w:tab w:val="left" w:pos="851"/>
          <w:tab w:val="left" w:pos="993"/>
        </w:tabs>
        <w:spacing w:after="0"/>
        <w:ind w:left="0" w:firstLine="567"/>
        <w:rPr>
          <w:rFonts w:cs="Times New Roman"/>
          <w:sz w:val="26"/>
          <w:szCs w:val="26"/>
        </w:rPr>
      </w:pPr>
      <w:r w:rsidRPr="00A011A2">
        <w:rPr>
          <w:rFonts w:cs="Times New Roman"/>
          <w:sz w:val="26"/>
          <w:szCs w:val="26"/>
        </w:rPr>
        <w:t>Такие документы могут распечатываться кредитной организацией только при необходимости.</w:t>
      </w:r>
    </w:p>
    <w:p w:rsidR="00A011A2" w:rsidRPr="00A011A2" w:rsidRDefault="00A011A2" w:rsidP="00A011A2">
      <w:pPr>
        <w:tabs>
          <w:tab w:val="left" w:pos="851"/>
          <w:tab w:val="left" w:pos="993"/>
        </w:tabs>
        <w:spacing w:after="0"/>
        <w:ind w:left="0" w:firstLine="567"/>
        <w:rPr>
          <w:rFonts w:cs="Times New Roman"/>
          <w:sz w:val="26"/>
          <w:szCs w:val="26"/>
        </w:rPr>
      </w:pPr>
      <w:proofErr w:type="gramStart"/>
      <w:r w:rsidRPr="00A011A2">
        <w:rPr>
          <w:rFonts w:cs="Times New Roman"/>
          <w:sz w:val="26"/>
          <w:szCs w:val="26"/>
        </w:rPr>
        <w:t>Согласно пункту 1 части III Положения Банка России от 16.07.2012 № 385-П «О правилах ведения бухгалтерского учета в кредитных организациях, расположенных на территории Российской Федерации» (далее - Положение № 385-П) в случае, когда законодательством Российской Федерации или договором предусмотрено предоставление первичного учетного документа, хранение которого осуществляется в электронном виде, лицу, в том числе органу государственной власти, на бумажном носителе, кредитная организация обязана по</w:t>
      </w:r>
      <w:proofErr w:type="gramEnd"/>
      <w:r w:rsidRPr="00A011A2">
        <w:rPr>
          <w:rFonts w:cs="Times New Roman"/>
          <w:sz w:val="26"/>
          <w:szCs w:val="26"/>
        </w:rPr>
        <w:t xml:space="preserve"> требованию указанного лица, в том числе органа государственной власти, распечатать на бумажном носителе первичный учетный документ по форме и содержанию, которые действовали на момент его создания и помещения на хранение в электронном виде.</w:t>
      </w:r>
    </w:p>
    <w:p w:rsidR="00A011A2" w:rsidRPr="00F70CAB" w:rsidRDefault="00A011A2" w:rsidP="00F70CAB">
      <w:pPr>
        <w:tabs>
          <w:tab w:val="left" w:pos="851"/>
        </w:tabs>
        <w:spacing w:after="0"/>
        <w:ind w:left="567" w:firstLine="0"/>
        <w:rPr>
          <w:rFonts w:cs="Times New Roman"/>
          <w:sz w:val="26"/>
          <w:szCs w:val="26"/>
        </w:rPr>
      </w:pPr>
    </w:p>
    <w:p w:rsidR="009E4C6B" w:rsidRDefault="009E4C6B" w:rsidP="00F70CAB">
      <w:pPr>
        <w:numPr>
          <w:ilvl w:val="0"/>
          <w:numId w:val="11"/>
        </w:numPr>
        <w:tabs>
          <w:tab w:val="left" w:pos="851"/>
        </w:tabs>
        <w:spacing w:after="0"/>
        <w:ind w:firstLine="567"/>
        <w:rPr>
          <w:rFonts w:cs="Times New Roman"/>
          <w:sz w:val="26"/>
          <w:szCs w:val="26"/>
        </w:rPr>
      </w:pPr>
      <w:r w:rsidRPr="00F70CAB">
        <w:rPr>
          <w:rFonts w:cs="Times New Roman"/>
          <w:sz w:val="26"/>
          <w:szCs w:val="26"/>
        </w:rPr>
        <w:t xml:space="preserve">В силу отсутствия специализированного перечня с указанием сроков хранения документов финансовых организаций, банки вынуждены ориентироваться на Типовой перечень, который не охватывает все виды документов финансовых организаций. Планирует ли Банк </w:t>
      </w:r>
      <w:proofErr w:type="gramStart"/>
      <w:r w:rsidRPr="00F70CAB">
        <w:rPr>
          <w:rFonts w:cs="Times New Roman"/>
          <w:sz w:val="26"/>
          <w:szCs w:val="26"/>
        </w:rPr>
        <w:t>России</w:t>
      </w:r>
      <w:proofErr w:type="gramEnd"/>
      <w:r w:rsidRPr="00F70CAB">
        <w:rPr>
          <w:rFonts w:cs="Times New Roman"/>
          <w:sz w:val="26"/>
          <w:szCs w:val="26"/>
        </w:rPr>
        <w:t xml:space="preserve"> и в </w:t>
      </w:r>
      <w:proofErr w:type="gramStart"/>
      <w:r w:rsidRPr="00F70CAB">
        <w:rPr>
          <w:rFonts w:cs="Times New Roman"/>
          <w:sz w:val="26"/>
          <w:szCs w:val="26"/>
        </w:rPr>
        <w:t>какие</w:t>
      </w:r>
      <w:proofErr w:type="gramEnd"/>
      <w:r w:rsidRPr="00F70CAB">
        <w:rPr>
          <w:rFonts w:cs="Times New Roman"/>
          <w:sz w:val="26"/>
          <w:szCs w:val="26"/>
        </w:rPr>
        <w:t xml:space="preserve"> сроки подготовку и издание такого документа?</w:t>
      </w:r>
    </w:p>
    <w:p w:rsidR="00B25EE6" w:rsidRPr="00B25EE6" w:rsidRDefault="00B25EE6" w:rsidP="00B25EE6">
      <w:pPr>
        <w:tabs>
          <w:tab w:val="left" w:pos="851"/>
        </w:tabs>
        <w:spacing w:after="0"/>
        <w:ind w:left="0" w:firstLine="567"/>
        <w:rPr>
          <w:rFonts w:cs="Times New Roman"/>
          <w:b/>
          <w:sz w:val="26"/>
          <w:szCs w:val="26"/>
        </w:rPr>
      </w:pPr>
      <w:r w:rsidRPr="00B25EE6">
        <w:rPr>
          <w:rFonts w:cs="Times New Roman"/>
          <w:b/>
          <w:sz w:val="26"/>
          <w:szCs w:val="26"/>
        </w:rPr>
        <w:t xml:space="preserve">Ответ </w:t>
      </w:r>
      <w:proofErr w:type="spellStart"/>
      <w:r w:rsidRPr="00B25EE6">
        <w:rPr>
          <w:rFonts w:cs="Times New Roman"/>
          <w:b/>
          <w:sz w:val="26"/>
          <w:szCs w:val="26"/>
        </w:rPr>
        <w:t>ДБУиО</w:t>
      </w:r>
      <w:proofErr w:type="spellEnd"/>
    </w:p>
    <w:p w:rsidR="00B25EE6" w:rsidRPr="00B25EE6" w:rsidRDefault="00B25EE6" w:rsidP="00B25EE6">
      <w:pPr>
        <w:tabs>
          <w:tab w:val="left" w:pos="851"/>
          <w:tab w:val="left" w:pos="993"/>
        </w:tabs>
        <w:spacing w:after="0"/>
        <w:ind w:left="0" w:firstLine="567"/>
        <w:rPr>
          <w:rFonts w:cs="Times New Roman"/>
          <w:sz w:val="26"/>
          <w:szCs w:val="26"/>
        </w:rPr>
      </w:pPr>
      <w:r w:rsidRPr="00B25EE6">
        <w:rPr>
          <w:rFonts w:cs="Times New Roman"/>
          <w:sz w:val="26"/>
          <w:szCs w:val="26"/>
        </w:rPr>
        <w:t>Работа по подготовке проекта «Перечня документов, образующихся в процессе деятельности кредитных организаций, с указанием сроков хранения» (далее - проект Перечня) проводится Федеральным архивным агентством совместно с Банком России.</w:t>
      </w:r>
    </w:p>
    <w:p w:rsidR="00B25EE6" w:rsidRPr="00B25EE6" w:rsidRDefault="00B25EE6" w:rsidP="00B25EE6">
      <w:pPr>
        <w:tabs>
          <w:tab w:val="left" w:pos="851"/>
          <w:tab w:val="left" w:pos="993"/>
        </w:tabs>
        <w:spacing w:after="0"/>
        <w:ind w:left="0" w:firstLine="567"/>
        <w:rPr>
          <w:rFonts w:cs="Times New Roman"/>
          <w:sz w:val="26"/>
          <w:szCs w:val="26"/>
        </w:rPr>
      </w:pPr>
      <w:r w:rsidRPr="00B25EE6">
        <w:rPr>
          <w:rFonts w:cs="Times New Roman"/>
          <w:sz w:val="26"/>
          <w:szCs w:val="26"/>
        </w:rPr>
        <w:t>В ходе рассмотрения проекта Перечня установлена необходимость урегулирования вопроса о сроке хранения паспортов сделок, оформленных по результатам проведения валютных операций.</w:t>
      </w:r>
    </w:p>
    <w:p w:rsidR="00BF7E85" w:rsidRDefault="00B25EE6" w:rsidP="00B25EE6">
      <w:pPr>
        <w:tabs>
          <w:tab w:val="left" w:pos="851"/>
          <w:tab w:val="left" w:pos="993"/>
        </w:tabs>
        <w:spacing w:after="0"/>
        <w:ind w:left="0" w:firstLine="567"/>
        <w:rPr>
          <w:rFonts w:cs="Times New Roman"/>
          <w:sz w:val="26"/>
          <w:szCs w:val="26"/>
        </w:rPr>
      </w:pPr>
      <w:proofErr w:type="gramStart"/>
      <w:r w:rsidRPr="00B25EE6">
        <w:rPr>
          <w:rFonts w:cs="Times New Roman"/>
          <w:sz w:val="26"/>
          <w:szCs w:val="26"/>
        </w:rPr>
        <w:t>В настоящее время Министерством культуры Российской Федерации вносятся изменения в статью 453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утвержденного приказом Министерства культуры Российской Федерации от 25.08.2010 № 558 (далее - типовой Перечень), в том числе в части определения согласованного с Банком России срока хранения паспортов сделок (15 лет</w:t>
      </w:r>
      <w:proofErr w:type="gramEnd"/>
      <w:r w:rsidRPr="00B25EE6">
        <w:rPr>
          <w:rFonts w:cs="Times New Roman"/>
          <w:sz w:val="26"/>
          <w:szCs w:val="26"/>
        </w:rPr>
        <w:t xml:space="preserve"> вместо предусмотренного типовым Перечнем постоянного срока хранения), что позволит возобновить работу над проектом Перечня.</w:t>
      </w:r>
    </w:p>
    <w:p w:rsidR="00B25EE6" w:rsidRDefault="00B25EE6" w:rsidP="00F70CAB">
      <w:pPr>
        <w:tabs>
          <w:tab w:val="left" w:pos="851"/>
        </w:tabs>
        <w:spacing w:after="0"/>
        <w:ind w:left="567" w:firstLine="0"/>
        <w:rPr>
          <w:rFonts w:cs="Times New Roman"/>
          <w:sz w:val="26"/>
          <w:szCs w:val="26"/>
        </w:rPr>
      </w:pPr>
    </w:p>
    <w:p w:rsidR="009E4C6B" w:rsidRDefault="009E4C6B" w:rsidP="00F70CAB">
      <w:pPr>
        <w:numPr>
          <w:ilvl w:val="0"/>
          <w:numId w:val="11"/>
        </w:numPr>
        <w:tabs>
          <w:tab w:val="left" w:pos="851"/>
        </w:tabs>
        <w:spacing w:after="0"/>
        <w:ind w:firstLine="567"/>
        <w:rPr>
          <w:rFonts w:cs="Times New Roman"/>
          <w:sz w:val="26"/>
          <w:szCs w:val="26"/>
        </w:rPr>
      </w:pPr>
      <w:r w:rsidRPr="00F70CAB">
        <w:rPr>
          <w:rFonts w:cs="Times New Roman"/>
          <w:sz w:val="26"/>
          <w:szCs w:val="26"/>
        </w:rPr>
        <w:t xml:space="preserve">С 2014 года кредитные организации обязаны раскрывать в составе примечаний к годовой отчетности по РПБУ информацию, аналогичную </w:t>
      </w:r>
      <w:r w:rsidRPr="00F70CAB">
        <w:rPr>
          <w:rFonts w:cs="Times New Roman"/>
          <w:sz w:val="26"/>
          <w:szCs w:val="26"/>
        </w:rPr>
        <w:lastRenderedPageBreak/>
        <w:t xml:space="preserve">раскрываемой в примечаниях к отчетности по МСФО. В чем заключается целесообразность такого повторения и не планируется ли в дальнейшем перейти к единому раскрытию, например, только в примечаниях в годовой отчетности по МСФО? </w:t>
      </w:r>
    </w:p>
    <w:p w:rsidR="00642315" w:rsidRPr="00642315" w:rsidRDefault="00642315" w:rsidP="00642315">
      <w:pPr>
        <w:tabs>
          <w:tab w:val="left" w:pos="851"/>
        </w:tabs>
        <w:spacing w:after="0"/>
        <w:rPr>
          <w:rFonts w:cs="Times New Roman"/>
          <w:b/>
          <w:sz w:val="26"/>
          <w:szCs w:val="26"/>
        </w:rPr>
      </w:pPr>
      <w:r w:rsidRPr="00642315">
        <w:rPr>
          <w:rFonts w:cs="Times New Roman"/>
          <w:b/>
          <w:sz w:val="26"/>
          <w:szCs w:val="26"/>
        </w:rPr>
        <w:t xml:space="preserve">Ответ </w:t>
      </w:r>
      <w:proofErr w:type="spellStart"/>
      <w:r w:rsidRPr="00642315">
        <w:rPr>
          <w:rFonts w:cs="Times New Roman"/>
          <w:b/>
          <w:sz w:val="26"/>
          <w:szCs w:val="26"/>
        </w:rPr>
        <w:t>ДБУиО</w:t>
      </w:r>
      <w:proofErr w:type="spellEnd"/>
    </w:p>
    <w:p w:rsidR="00BF7E85" w:rsidRDefault="00642315" w:rsidP="00642315">
      <w:pPr>
        <w:tabs>
          <w:tab w:val="left" w:pos="851"/>
          <w:tab w:val="left" w:pos="993"/>
        </w:tabs>
        <w:spacing w:after="0"/>
        <w:ind w:left="0" w:firstLine="567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Предложение переадресовано профильному департаменту Банка России для подготовки комментария. </w:t>
      </w:r>
    </w:p>
    <w:p w:rsidR="00642315" w:rsidRPr="00F70CAB" w:rsidRDefault="00642315" w:rsidP="00F70CAB">
      <w:pPr>
        <w:tabs>
          <w:tab w:val="left" w:pos="851"/>
        </w:tabs>
        <w:spacing w:after="0"/>
        <w:ind w:left="567" w:firstLine="0"/>
        <w:rPr>
          <w:rFonts w:cs="Times New Roman"/>
          <w:sz w:val="26"/>
          <w:szCs w:val="26"/>
        </w:rPr>
      </w:pPr>
    </w:p>
    <w:p w:rsidR="009E4C6B" w:rsidRDefault="009E4C6B" w:rsidP="00F70CAB">
      <w:pPr>
        <w:numPr>
          <w:ilvl w:val="0"/>
          <w:numId w:val="11"/>
        </w:numPr>
        <w:tabs>
          <w:tab w:val="left" w:pos="851"/>
        </w:tabs>
        <w:spacing w:after="0"/>
        <w:ind w:firstLine="567"/>
        <w:rPr>
          <w:rFonts w:cs="Times New Roman"/>
          <w:sz w:val="26"/>
          <w:szCs w:val="26"/>
        </w:rPr>
      </w:pPr>
      <w:r w:rsidRPr="00F70CAB">
        <w:rPr>
          <w:rFonts w:cs="Times New Roman"/>
          <w:sz w:val="26"/>
          <w:szCs w:val="26"/>
        </w:rPr>
        <w:t xml:space="preserve">Пунктом 1.3.8. Положения "Отраслевой стандарт бухгалтерского учета вознаграждений работникам в кредитных организациях" (утв. Банком России 15.04.2015 N 465-П) предусмотрено начисление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 Российской Федерации в дату признания обязательств по выплате краткосрочных вознаграждений работникам. Это требование приводит к увеличению трудозатрат, так как одновременно с расчетом вознаграждения необходимо произвести расчет страховых взносов. При этом суммы могут быть незначительными, например, при оплате очередного отпуска одному сотруднику. Вместе с тем законодательством РФ предусмотрено ежемесячное исчисление платежей по страховым взносам по итогам каждого календарного месяца (п.3 ст.15 Закона № 212-ФЗ от 24.07.2009г.). Можно ли предусмотреть в Положении № 465-П возможность начислять страховые взносы по итогам каждого календарного месяца? </w:t>
      </w:r>
    </w:p>
    <w:p w:rsidR="004B4F8B" w:rsidRPr="004B4F8B" w:rsidRDefault="004B4F8B" w:rsidP="004B4F8B">
      <w:pPr>
        <w:tabs>
          <w:tab w:val="left" w:pos="851"/>
        </w:tabs>
        <w:spacing w:after="0"/>
        <w:ind w:left="0" w:firstLine="567"/>
        <w:rPr>
          <w:rFonts w:cs="Times New Roman"/>
          <w:b/>
          <w:sz w:val="26"/>
          <w:szCs w:val="26"/>
        </w:rPr>
      </w:pPr>
      <w:r w:rsidRPr="004B4F8B">
        <w:rPr>
          <w:rFonts w:cs="Times New Roman"/>
          <w:b/>
          <w:sz w:val="26"/>
          <w:szCs w:val="26"/>
        </w:rPr>
        <w:t xml:space="preserve">Ответ </w:t>
      </w:r>
      <w:proofErr w:type="spellStart"/>
      <w:r w:rsidRPr="004B4F8B">
        <w:rPr>
          <w:rFonts w:cs="Times New Roman"/>
          <w:b/>
          <w:sz w:val="26"/>
          <w:szCs w:val="26"/>
        </w:rPr>
        <w:t>ДБУиО</w:t>
      </w:r>
      <w:proofErr w:type="spellEnd"/>
    </w:p>
    <w:p w:rsidR="003B407E" w:rsidRPr="003B407E" w:rsidRDefault="003B407E" w:rsidP="003B407E">
      <w:pPr>
        <w:tabs>
          <w:tab w:val="left" w:pos="851"/>
          <w:tab w:val="left" w:pos="993"/>
        </w:tabs>
        <w:spacing w:after="0"/>
        <w:ind w:left="0" w:firstLine="567"/>
        <w:rPr>
          <w:rFonts w:cs="Times New Roman"/>
          <w:sz w:val="26"/>
          <w:szCs w:val="26"/>
        </w:rPr>
      </w:pPr>
      <w:proofErr w:type="gramStart"/>
      <w:r w:rsidRPr="003B407E">
        <w:rPr>
          <w:rFonts w:cs="Times New Roman"/>
          <w:sz w:val="26"/>
          <w:szCs w:val="26"/>
        </w:rPr>
        <w:t xml:space="preserve">Подпункт 1.3.8 пункта 1.3 Положения Банка России от 15.04.2015 № 465-П «Отраслевой стандарт бухгалтерского учета вознаграждений работникам в кредитных организациях» (далее - Положение № 465-П) требует одновременно с признанием обязательств по выплате краткосрочных </w:t>
      </w:r>
      <w:r>
        <w:rPr>
          <w:rFonts w:cs="Times New Roman"/>
          <w:sz w:val="26"/>
          <w:szCs w:val="26"/>
        </w:rPr>
        <w:t xml:space="preserve">вознаграждений работникам кредитной организации </w:t>
      </w:r>
      <w:r w:rsidRPr="003B407E">
        <w:rPr>
          <w:rFonts w:cs="Times New Roman"/>
          <w:sz w:val="26"/>
          <w:szCs w:val="26"/>
        </w:rPr>
        <w:t>одновременно</w:t>
      </w:r>
      <w:r>
        <w:rPr>
          <w:rFonts w:cs="Times New Roman"/>
          <w:sz w:val="26"/>
          <w:szCs w:val="26"/>
        </w:rPr>
        <w:t xml:space="preserve"> </w:t>
      </w:r>
      <w:r w:rsidRPr="003B407E">
        <w:rPr>
          <w:rFonts w:cs="Times New Roman"/>
          <w:sz w:val="26"/>
          <w:szCs w:val="26"/>
        </w:rPr>
        <w:t>признавать обязательства по оплате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 (далее - страховые взносы), которые</w:t>
      </w:r>
      <w:proofErr w:type="gramEnd"/>
      <w:r w:rsidRPr="003B407E">
        <w:rPr>
          <w:rFonts w:cs="Times New Roman"/>
          <w:sz w:val="26"/>
          <w:szCs w:val="26"/>
        </w:rPr>
        <w:t xml:space="preserve"> возникают (возникнут) при фактическом исполнении обязательств по выплате вознаграждений работникам в соответствии законодательством Российской Федерации.</w:t>
      </w:r>
    </w:p>
    <w:p w:rsidR="003B407E" w:rsidRPr="003B407E" w:rsidRDefault="003B407E" w:rsidP="003B407E">
      <w:pPr>
        <w:tabs>
          <w:tab w:val="left" w:pos="851"/>
          <w:tab w:val="left" w:pos="993"/>
        </w:tabs>
        <w:spacing w:after="0"/>
        <w:ind w:left="0" w:firstLine="567"/>
        <w:rPr>
          <w:rFonts w:cs="Times New Roman"/>
          <w:sz w:val="26"/>
          <w:szCs w:val="26"/>
        </w:rPr>
      </w:pPr>
      <w:r w:rsidRPr="003B407E">
        <w:rPr>
          <w:rFonts w:cs="Times New Roman"/>
          <w:sz w:val="26"/>
          <w:szCs w:val="26"/>
        </w:rPr>
        <w:t>Применение критерия существенности для определения необходимости</w:t>
      </w:r>
      <w:r>
        <w:rPr>
          <w:rFonts w:cs="Times New Roman"/>
          <w:sz w:val="26"/>
          <w:szCs w:val="26"/>
        </w:rPr>
        <w:t xml:space="preserve"> </w:t>
      </w:r>
      <w:r w:rsidRPr="003B407E">
        <w:rPr>
          <w:rFonts w:cs="Times New Roman"/>
          <w:sz w:val="26"/>
          <w:szCs w:val="26"/>
        </w:rPr>
        <w:t>начислять страховые взносы в отношении признанного краткосрочного</w:t>
      </w:r>
      <w:r>
        <w:rPr>
          <w:rFonts w:cs="Times New Roman"/>
          <w:sz w:val="26"/>
          <w:szCs w:val="26"/>
        </w:rPr>
        <w:t xml:space="preserve"> </w:t>
      </w:r>
      <w:r w:rsidRPr="003B407E">
        <w:rPr>
          <w:rFonts w:cs="Times New Roman"/>
          <w:sz w:val="26"/>
          <w:szCs w:val="26"/>
        </w:rPr>
        <w:t>обязательства</w:t>
      </w:r>
      <w:r>
        <w:rPr>
          <w:rFonts w:cs="Times New Roman"/>
          <w:sz w:val="26"/>
          <w:szCs w:val="26"/>
        </w:rPr>
        <w:t xml:space="preserve"> </w:t>
      </w:r>
      <w:r w:rsidRPr="003B407E">
        <w:rPr>
          <w:rFonts w:cs="Times New Roman"/>
          <w:sz w:val="26"/>
          <w:szCs w:val="26"/>
        </w:rPr>
        <w:t>по</w:t>
      </w:r>
      <w:r>
        <w:rPr>
          <w:rFonts w:cs="Times New Roman"/>
          <w:sz w:val="26"/>
          <w:szCs w:val="26"/>
        </w:rPr>
        <w:t xml:space="preserve"> </w:t>
      </w:r>
      <w:r w:rsidRPr="003B407E">
        <w:rPr>
          <w:rFonts w:cs="Times New Roman"/>
          <w:sz w:val="26"/>
          <w:szCs w:val="26"/>
        </w:rPr>
        <w:t>выплате</w:t>
      </w:r>
      <w:r>
        <w:rPr>
          <w:rFonts w:cs="Times New Roman"/>
          <w:sz w:val="26"/>
          <w:szCs w:val="26"/>
        </w:rPr>
        <w:t xml:space="preserve"> </w:t>
      </w:r>
      <w:r w:rsidRPr="003B407E">
        <w:rPr>
          <w:rFonts w:cs="Times New Roman"/>
          <w:sz w:val="26"/>
          <w:szCs w:val="26"/>
        </w:rPr>
        <w:t>вознаграждений</w:t>
      </w:r>
      <w:r>
        <w:rPr>
          <w:rFonts w:cs="Times New Roman"/>
          <w:sz w:val="26"/>
          <w:szCs w:val="26"/>
        </w:rPr>
        <w:t xml:space="preserve"> </w:t>
      </w:r>
      <w:r w:rsidRPr="003B407E">
        <w:rPr>
          <w:rFonts w:cs="Times New Roman"/>
          <w:sz w:val="26"/>
          <w:szCs w:val="26"/>
        </w:rPr>
        <w:t>работникам</w:t>
      </w:r>
      <w:r>
        <w:rPr>
          <w:rFonts w:cs="Times New Roman"/>
          <w:sz w:val="26"/>
          <w:szCs w:val="26"/>
        </w:rPr>
        <w:t xml:space="preserve"> </w:t>
      </w:r>
      <w:r w:rsidRPr="003B407E">
        <w:rPr>
          <w:rFonts w:cs="Times New Roman"/>
          <w:sz w:val="26"/>
          <w:szCs w:val="26"/>
        </w:rPr>
        <w:t>Положением № 465-П не предусмотрено.</w:t>
      </w:r>
    </w:p>
    <w:p w:rsidR="003B407E" w:rsidRPr="003B407E" w:rsidRDefault="003B407E" w:rsidP="003B407E">
      <w:pPr>
        <w:tabs>
          <w:tab w:val="left" w:pos="851"/>
          <w:tab w:val="left" w:pos="993"/>
        </w:tabs>
        <w:spacing w:after="0"/>
        <w:ind w:left="0" w:firstLine="567"/>
        <w:rPr>
          <w:rFonts w:cs="Times New Roman"/>
          <w:sz w:val="26"/>
          <w:szCs w:val="26"/>
        </w:rPr>
      </w:pPr>
      <w:r w:rsidRPr="003B407E">
        <w:rPr>
          <w:rFonts w:cs="Times New Roman"/>
          <w:sz w:val="26"/>
          <w:szCs w:val="26"/>
        </w:rPr>
        <w:t xml:space="preserve">Аналогичный ответ содержится в «Разъяснениях по вопросам, связанным с применением Положения Банка России от 15.04.2015 № 465-П «Отраслевой стандарт бухгалтерского учета вознаграждений работникам в кредитных </w:t>
      </w:r>
      <w:r w:rsidRPr="003B407E">
        <w:rPr>
          <w:rFonts w:cs="Times New Roman"/>
          <w:sz w:val="26"/>
          <w:szCs w:val="26"/>
        </w:rPr>
        <w:lastRenderedPageBreak/>
        <w:t>организациях» от 15.10.2015 (ответ на вопрос 3), опубликованных на официальном сайте Банка России в сети Интернет.</w:t>
      </w:r>
    </w:p>
    <w:p w:rsidR="003B407E" w:rsidRPr="003B407E" w:rsidRDefault="003B407E" w:rsidP="003B407E">
      <w:pPr>
        <w:tabs>
          <w:tab w:val="left" w:pos="851"/>
          <w:tab w:val="left" w:pos="993"/>
        </w:tabs>
        <w:spacing w:after="0"/>
        <w:ind w:left="0" w:firstLine="567"/>
        <w:rPr>
          <w:rFonts w:cs="Times New Roman"/>
          <w:sz w:val="26"/>
          <w:szCs w:val="26"/>
        </w:rPr>
      </w:pPr>
      <w:r w:rsidRPr="003B407E">
        <w:rPr>
          <w:rFonts w:cs="Times New Roman"/>
          <w:sz w:val="26"/>
          <w:szCs w:val="26"/>
        </w:rPr>
        <w:t>При автоматизированном ведении бухгалтерского учета вознаграждений работникам какого-либо значительного увеличения трудозатрат в связи с выполнением вышеуказанных требований Положения № 465-П, по нашему мнению, не происходит.</w:t>
      </w:r>
    </w:p>
    <w:p w:rsidR="004B4F8B" w:rsidRPr="00F70CAB" w:rsidRDefault="004B4F8B" w:rsidP="00F70CAB">
      <w:pPr>
        <w:tabs>
          <w:tab w:val="left" w:pos="851"/>
        </w:tabs>
        <w:spacing w:after="0"/>
        <w:ind w:left="567" w:firstLine="0"/>
        <w:rPr>
          <w:rFonts w:cs="Times New Roman"/>
          <w:sz w:val="26"/>
          <w:szCs w:val="26"/>
        </w:rPr>
      </w:pPr>
    </w:p>
    <w:p w:rsidR="009E4C6B" w:rsidRPr="00F70CAB" w:rsidRDefault="009E4C6B" w:rsidP="00F70CAB">
      <w:pPr>
        <w:numPr>
          <w:ilvl w:val="0"/>
          <w:numId w:val="11"/>
        </w:numPr>
        <w:tabs>
          <w:tab w:val="left" w:pos="851"/>
        </w:tabs>
        <w:spacing w:after="0"/>
        <w:ind w:firstLine="567"/>
        <w:rPr>
          <w:rFonts w:cs="Times New Roman"/>
          <w:sz w:val="26"/>
          <w:szCs w:val="26"/>
        </w:rPr>
      </w:pPr>
      <w:proofErr w:type="gramStart"/>
      <w:r w:rsidRPr="00F70CAB">
        <w:rPr>
          <w:rFonts w:cs="Times New Roman"/>
          <w:sz w:val="26"/>
          <w:szCs w:val="26"/>
        </w:rPr>
        <w:t>В соответствии с Положением № 465-П при признании обязательств по выплате краткосрочных вознаграждений работникам (например, оплата ежегодных отпусков, выплата которых в полном объеме ожидается в течение годового отчетного периода и в течение 12 месяцев после окончания годового отчетного периода), банк одновременно признает обязательства по оплате страховых взносов, которые возникают (возникнут) при фактическом исполнении обязательств по выплате краткосрочных вознаграждений работникам.</w:t>
      </w:r>
      <w:proofErr w:type="gramEnd"/>
    </w:p>
    <w:p w:rsidR="009E4C6B" w:rsidRDefault="009E4C6B" w:rsidP="00F70CAB">
      <w:pPr>
        <w:tabs>
          <w:tab w:val="left" w:pos="851"/>
        </w:tabs>
        <w:spacing w:after="0"/>
        <w:ind w:left="0" w:firstLine="567"/>
        <w:rPr>
          <w:rFonts w:cs="Times New Roman"/>
          <w:sz w:val="26"/>
          <w:szCs w:val="26"/>
        </w:rPr>
      </w:pPr>
      <w:proofErr w:type="gramStart"/>
      <w:r w:rsidRPr="00F70CAB">
        <w:rPr>
          <w:rFonts w:cs="Times New Roman"/>
          <w:sz w:val="26"/>
          <w:szCs w:val="26"/>
        </w:rPr>
        <w:t>Признание обязательств по оплате страховых взносов отражается следующей бухгалтерской записью: дебет счета N 70606 «Расходы» (в ОФР по символу 48103 «Расходы на содержание персонала: страховые взносы с выплат вознаграждений работникам со сроком исполнения в течение годового отчетного периода и в течение 12 месяцев после окончания годового отчетного периода, уплачиваемые работодателем в соответствии с законодательством Российской Федерации»), кредит счета N 60335</w:t>
      </w:r>
      <w:proofErr w:type="gramEnd"/>
      <w:r w:rsidRPr="00F70CAB">
        <w:rPr>
          <w:rFonts w:cs="Times New Roman"/>
          <w:sz w:val="26"/>
          <w:szCs w:val="26"/>
        </w:rPr>
        <w:t xml:space="preserve"> «Расчеты по социальному страхованию и обеспечению». В связи с тем, что данные обязательства не являются выплаченными в текущем периоде суммами оплаты труда, а лишь обязательствами по выплатам вознаграждений в будущих периодах, просим разъяснить, в какой срок должны быть перечислены взносы во внебюджетные фонды, начисленные с данных видов вознаграждений?</w:t>
      </w:r>
    </w:p>
    <w:p w:rsidR="003D7B17" w:rsidRPr="004B4F8B" w:rsidRDefault="003D7B17" w:rsidP="003D7B17">
      <w:pPr>
        <w:tabs>
          <w:tab w:val="left" w:pos="851"/>
        </w:tabs>
        <w:spacing w:after="0"/>
        <w:ind w:left="0" w:firstLine="567"/>
        <w:rPr>
          <w:rFonts w:cs="Times New Roman"/>
          <w:b/>
          <w:sz w:val="26"/>
          <w:szCs w:val="26"/>
        </w:rPr>
      </w:pPr>
      <w:r w:rsidRPr="004B4F8B">
        <w:rPr>
          <w:rFonts w:cs="Times New Roman"/>
          <w:b/>
          <w:sz w:val="26"/>
          <w:szCs w:val="26"/>
        </w:rPr>
        <w:t xml:space="preserve">Ответ </w:t>
      </w:r>
      <w:proofErr w:type="spellStart"/>
      <w:r w:rsidRPr="004B4F8B">
        <w:rPr>
          <w:rFonts w:cs="Times New Roman"/>
          <w:b/>
          <w:sz w:val="26"/>
          <w:szCs w:val="26"/>
        </w:rPr>
        <w:t>ДБУиО</w:t>
      </w:r>
      <w:proofErr w:type="spellEnd"/>
    </w:p>
    <w:p w:rsidR="003D7B17" w:rsidRPr="003D7B17" w:rsidRDefault="003D7B17" w:rsidP="003D7B17">
      <w:pPr>
        <w:tabs>
          <w:tab w:val="left" w:pos="851"/>
          <w:tab w:val="left" w:pos="993"/>
        </w:tabs>
        <w:spacing w:after="0"/>
        <w:ind w:left="0" w:firstLine="567"/>
        <w:rPr>
          <w:rFonts w:cs="Times New Roman"/>
          <w:sz w:val="26"/>
          <w:szCs w:val="26"/>
        </w:rPr>
      </w:pPr>
      <w:r w:rsidRPr="003D7B17">
        <w:rPr>
          <w:rFonts w:cs="Times New Roman"/>
          <w:sz w:val="26"/>
          <w:szCs w:val="26"/>
        </w:rPr>
        <w:t>Страховые взносы исчисляются и уплачиваются в порядке и сроки, установленные Федеральным законом от 24.07.2009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страхования».</w:t>
      </w:r>
    </w:p>
    <w:p w:rsidR="003D7B17" w:rsidRPr="00F70CAB" w:rsidRDefault="003D7B17" w:rsidP="00F70CAB">
      <w:pPr>
        <w:tabs>
          <w:tab w:val="left" w:pos="851"/>
        </w:tabs>
        <w:spacing w:after="0"/>
        <w:rPr>
          <w:rFonts w:cs="Times New Roman"/>
          <w:sz w:val="26"/>
          <w:szCs w:val="26"/>
        </w:rPr>
      </w:pPr>
    </w:p>
    <w:p w:rsidR="009E4C6B" w:rsidRDefault="009E4C6B" w:rsidP="00F70CAB">
      <w:pPr>
        <w:numPr>
          <w:ilvl w:val="0"/>
          <w:numId w:val="11"/>
        </w:numPr>
        <w:tabs>
          <w:tab w:val="left" w:pos="851"/>
        </w:tabs>
        <w:spacing w:after="0"/>
        <w:ind w:firstLine="567"/>
        <w:rPr>
          <w:rFonts w:cs="Times New Roman"/>
          <w:sz w:val="26"/>
          <w:szCs w:val="26"/>
        </w:rPr>
      </w:pPr>
      <w:r w:rsidRPr="00F70CAB">
        <w:rPr>
          <w:rFonts w:cs="Times New Roman"/>
          <w:sz w:val="26"/>
          <w:szCs w:val="26"/>
        </w:rPr>
        <w:t>Рассматривает ли Банк России введение в правила бухгалтерского учета кредитных организаций специальных балансовых счетов – залогового счета и залогового вклада? Это необходимо для надлежащего обособления денежных средств, находящихся на залоговых счетах (вкладах) и имеющих особый правовой режим (защиту от списания третьими лицами).</w:t>
      </w:r>
    </w:p>
    <w:p w:rsidR="00EE15DA" w:rsidRPr="00EE15DA" w:rsidRDefault="00EE15DA" w:rsidP="00EE15DA">
      <w:pPr>
        <w:tabs>
          <w:tab w:val="left" w:pos="851"/>
        </w:tabs>
        <w:spacing w:after="0"/>
        <w:ind w:left="0" w:firstLine="567"/>
        <w:rPr>
          <w:rFonts w:cs="Times New Roman"/>
          <w:b/>
          <w:sz w:val="26"/>
          <w:szCs w:val="26"/>
        </w:rPr>
      </w:pPr>
      <w:r w:rsidRPr="00EE15DA">
        <w:rPr>
          <w:rFonts w:cs="Times New Roman"/>
          <w:b/>
          <w:sz w:val="26"/>
          <w:szCs w:val="26"/>
        </w:rPr>
        <w:t xml:space="preserve">Ответ </w:t>
      </w:r>
      <w:proofErr w:type="spellStart"/>
      <w:r w:rsidRPr="00EE15DA">
        <w:rPr>
          <w:rFonts w:cs="Times New Roman"/>
          <w:b/>
          <w:sz w:val="26"/>
          <w:szCs w:val="26"/>
        </w:rPr>
        <w:t>ДБУиО</w:t>
      </w:r>
      <w:proofErr w:type="spellEnd"/>
    </w:p>
    <w:p w:rsidR="00EC4551" w:rsidRPr="00EC4551" w:rsidRDefault="00EC4551" w:rsidP="00EC4551">
      <w:pPr>
        <w:tabs>
          <w:tab w:val="left" w:pos="851"/>
          <w:tab w:val="left" w:pos="993"/>
        </w:tabs>
        <w:spacing w:after="0"/>
        <w:ind w:left="0" w:firstLine="567"/>
        <w:rPr>
          <w:rFonts w:cs="Times New Roman"/>
          <w:sz w:val="26"/>
          <w:szCs w:val="26"/>
        </w:rPr>
      </w:pPr>
      <w:proofErr w:type="gramStart"/>
      <w:r w:rsidRPr="00EC4551">
        <w:rPr>
          <w:rFonts w:cs="Times New Roman"/>
          <w:sz w:val="26"/>
          <w:szCs w:val="26"/>
        </w:rPr>
        <w:t xml:space="preserve">Залоговые счета физическим или юридическим лицам для осуществления операций при передаче залогодателем в залог кредитной организации прав по договорам банковского счета, банковского вклада (депозита) могут открываться на </w:t>
      </w:r>
      <w:r w:rsidRPr="00EC4551">
        <w:rPr>
          <w:rFonts w:cs="Times New Roman"/>
          <w:sz w:val="26"/>
          <w:szCs w:val="26"/>
        </w:rPr>
        <w:lastRenderedPageBreak/>
        <w:t>тех же балансовых счетах подразделов «Средства на счетах» и «Депозиты» Раздела 4 «Операции с клиентами» Плана счетов бухгалтерского учета в кредитных организациях, на которых учитываются операции по соответствующим банковским счетам (расчетные счета и</w:t>
      </w:r>
      <w:proofErr w:type="gramEnd"/>
      <w:r w:rsidRPr="00EC4551">
        <w:rPr>
          <w:rFonts w:cs="Times New Roman"/>
          <w:sz w:val="26"/>
          <w:szCs w:val="26"/>
        </w:rPr>
        <w:t xml:space="preserve"> текущие счета), а также вклады (депозиты).</w:t>
      </w:r>
    </w:p>
    <w:p w:rsidR="00EC4551" w:rsidRPr="00EC4551" w:rsidRDefault="00EC4551" w:rsidP="00EC4551">
      <w:pPr>
        <w:tabs>
          <w:tab w:val="left" w:pos="851"/>
          <w:tab w:val="left" w:pos="993"/>
        </w:tabs>
        <w:spacing w:after="0"/>
        <w:ind w:left="0" w:firstLine="567"/>
        <w:rPr>
          <w:rFonts w:cs="Times New Roman"/>
          <w:sz w:val="26"/>
          <w:szCs w:val="26"/>
        </w:rPr>
      </w:pPr>
      <w:r w:rsidRPr="00EC4551">
        <w:rPr>
          <w:rFonts w:cs="Times New Roman"/>
          <w:sz w:val="26"/>
          <w:szCs w:val="26"/>
        </w:rPr>
        <w:t>Аналогичное разъяснение опубликовано на официальном сайте Банка России в сети Интернет 07.07.2014 (ответ на вопрос 2).</w:t>
      </w:r>
    </w:p>
    <w:p w:rsidR="00EC4551" w:rsidRPr="00EC4551" w:rsidRDefault="00EC4551" w:rsidP="00EC4551">
      <w:pPr>
        <w:tabs>
          <w:tab w:val="left" w:pos="851"/>
          <w:tab w:val="left" w:pos="993"/>
        </w:tabs>
        <w:spacing w:after="0"/>
        <w:ind w:left="0" w:firstLine="567"/>
        <w:rPr>
          <w:rFonts w:cs="Times New Roman"/>
          <w:sz w:val="26"/>
          <w:szCs w:val="26"/>
        </w:rPr>
      </w:pPr>
      <w:r w:rsidRPr="00EC4551">
        <w:rPr>
          <w:rFonts w:cs="Times New Roman"/>
          <w:sz w:val="26"/>
          <w:szCs w:val="26"/>
        </w:rPr>
        <w:t>Согласно пункту 2.8 Инструкции Банка России от 30.05.2014 № 153-И «Об открытии и закрытии банковских счетов, счетов по вкладам (депозитам), депозитных счетов» залоговый счет является одним из видов специальных</w:t>
      </w:r>
      <w:r>
        <w:rPr>
          <w:rFonts w:cs="Times New Roman"/>
          <w:sz w:val="26"/>
          <w:szCs w:val="26"/>
        </w:rPr>
        <w:t xml:space="preserve"> </w:t>
      </w:r>
      <w:r w:rsidRPr="00EC4551">
        <w:rPr>
          <w:rFonts w:cs="Times New Roman"/>
          <w:sz w:val="26"/>
          <w:szCs w:val="26"/>
        </w:rPr>
        <w:t>банковских счетов, порядок открытия и режим работы которых, в том числе ограничения на списание средств, определяются нормами законодательства Российской Федерации.</w:t>
      </w:r>
    </w:p>
    <w:p w:rsidR="00EC4551" w:rsidRPr="00EC4551" w:rsidRDefault="00EC4551" w:rsidP="00EC4551">
      <w:pPr>
        <w:tabs>
          <w:tab w:val="left" w:pos="851"/>
          <w:tab w:val="left" w:pos="993"/>
        </w:tabs>
        <w:spacing w:after="0"/>
        <w:ind w:left="0" w:firstLine="567"/>
        <w:rPr>
          <w:rFonts w:cs="Times New Roman"/>
          <w:sz w:val="26"/>
          <w:szCs w:val="26"/>
        </w:rPr>
      </w:pPr>
      <w:r w:rsidRPr="00EC4551">
        <w:rPr>
          <w:rFonts w:cs="Times New Roman"/>
          <w:sz w:val="26"/>
          <w:szCs w:val="26"/>
        </w:rPr>
        <w:t>Открытие в Плане счетов бухгалтерского учета в кредитных организациях отдельных балансовых счетов для учета залога прав по договорам банковского счета, банковского вклада (депозита) не предполагается.</w:t>
      </w:r>
    </w:p>
    <w:p w:rsidR="00EE15DA" w:rsidRPr="00F70CAB" w:rsidRDefault="00EE15DA" w:rsidP="00F70CAB">
      <w:pPr>
        <w:tabs>
          <w:tab w:val="left" w:pos="851"/>
        </w:tabs>
        <w:spacing w:after="0"/>
        <w:ind w:left="567" w:firstLine="0"/>
        <w:rPr>
          <w:rFonts w:cs="Times New Roman"/>
          <w:sz w:val="26"/>
          <w:szCs w:val="26"/>
        </w:rPr>
      </w:pPr>
    </w:p>
    <w:p w:rsidR="009E4C6B" w:rsidRDefault="009E4C6B" w:rsidP="00F70CAB">
      <w:pPr>
        <w:numPr>
          <w:ilvl w:val="0"/>
          <w:numId w:val="11"/>
        </w:numPr>
        <w:tabs>
          <w:tab w:val="left" w:pos="851"/>
        </w:tabs>
        <w:spacing w:after="0"/>
        <w:ind w:firstLine="567"/>
        <w:rPr>
          <w:rFonts w:cs="Times New Roman"/>
          <w:sz w:val="26"/>
          <w:szCs w:val="26"/>
        </w:rPr>
      </w:pPr>
      <w:proofErr w:type="gramStart"/>
      <w:r w:rsidRPr="00F70CAB">
        <w:rPr>
          <w:rFonts w:cs="Times New Roman"/>
          <w:sz w:val="26"/>
          <w:szCs w:val="26"/>
        </w:rPr>
        <w:t>В какие сроки Банк России планирует подготовку и опубликование отраслевых стандартов бухгалтерского учета финансовых обязательств на основе Международных стандартов финансовой отчетности для кредитных организаций, в которых будут описаны принципы оценки финансовых обязательств при первоначальном признании по справедливой стоимости для целей применения отдельных норм Положения Банка России от 22.12.2014 № 446-П «Положение о порядке определения доходов, расходов и прочего совокупного дохода кредитных</w:t>
      </w:r>
      <w:proofErr w:type="gramEnd"/>
      <w:r w:rsidRPr="00F70CAB">
        <w:rPr>
          <w:rFonts w:cs="Times New Roman"/>
          <w:sz w:val="26"/>
          <w:szCs w:val="26"/>
        </w:rPr>
        <w:t xml:space="preserve"> организаций» в части использования метода дисконтирования процентных доходов (расходов), доходов (расходов) от привлечения кредитов, депозитов и прочих средств на условиях, отличных </w:t>
      </w:r>
      <w:proofErr w:type="gramStart"/>
      <w:r w:rsidRPr="00F70CAB">
        <w:rPr>
          <w:rFonts w:cs="Times New Roman"/>
          <w:sz w:val="26"/>
          <w:szCs w:val="26"/>
        </w:rPr>
        <w:t>от</w:t>
      </w:r>
      <w:proofErr w:type="gramEnd"/>
      <w:r w:rsidRPr="00F70CAB">
        <w:rPr>
          <w:rFonts w:cs="Times New Roman"/>
          <w:sz w:val="26"/>
          <w:szCs w:val="26"/>
        </w:rPr>
        <w:t xml:space="preserve"> рыночных. При невозможности сообщения даты выпуска вышеуказанных стандартов просим выпустить/опубликовать их не позднее 01.01.2017 для целей своевременной подготовки программного обеспечения банка.</w:t>
      </w:r>
    </w:p>
    <w:p w:rsidR="009F3B54" w:rsidRPr="009F3B54" w:rsidRDefault="009F3B54" w:rsidP="009F3B54">
      <w:pPr>
        <w:tabs>
          <w:tab w:val="left" w:pos="851"/>
        </w:tabs>
        <w:spacing w:after="0"/>
        <w:ind w:left="0" w:firstLine="567"/>
        <w:rPr>
          <w:rFonts w:cs="Times New Roman"/>
          <w:b/>
          <w:sz w:val="26"/>
          <w:szCs w:val="26"/>
        </w:rPr>
      </w:pPr>
      <w:r w:rsidRPr="009F3B54">
        <w:rPr>
          <w:rFonts w:cs="Times New Roman"/>
          <w:b/>
          <w:sz w:val="26"/>
          <w:szCs w:val="26"/>
        </w:rPr>
        <w:t xml:space="preserve">Ответ </w:t>
      </w:r>
      <w:proofErr w:type="spellStart"/>
      <w:r w:rsidRPr="009F3B54">
        <w:rPr>
          <w:rFonts w:cs="Times New Roman"/>
          <w:b/>
          <w:sz w:val="26"/>
          <w:szCs w:val="26"/>
        </w:rPr>
        <w:t>ДБУиО</w:t>
      </w:r>
      <w:proofErr w:type="spellEnd"/>
    </w:p>
    <w:p w:rsidR="009F3B54" w:rsidRPr="009F3B54" w:rsidRDefault="009F3B54" w:rsidP="009F3B54">
      <w:pPr>
        <w:tabs>
          <w:tab w:val="left" w:pos="851"/>
          <w:tab w:val="left" w:pos="993"/>
        </w:tabs>
        <w:spacing w:after="0"/>
        <w:ind w:left="0" w:firstLine="567"/>
        <w:rPr>
          <w:rFonts w:cs="Times New Roman"/>
          <w:sz w:val="26"/>
          <w:szCs w:val="26"/>
        </w:rPr>
      </w:pPr>
      <w:r w:rsidRPr="009F3B54">
        <w:rPr>
          <w:rFonts w:cs="Times New Roman"/>
          <w:sz w:val="26"/>
          <w:szCs w:val="26"/>
        </w:rPr>
        <w:t>Подготовка для кредитных организаций отраслевых стандартов бухгалтерского учета, основанных на требованиях МСФО (IFRS) 9 «Финансовые инструменты», в том числе отраслевого стандарта по бухгалтерскому учету привлеченных средств, является приоритетной задачей на 2016 год.</w:t>
      </w:r>
    </w:p>
    <w:p w:rsidR="009F3B54" w:rsidRPr="009F3B54" w:rsidRDefault="009F3B54" w:rsidP="009F3B54">
      <w:pPr>
        <w:tabs>
          <w:tab w:val="left" w:pos="851"/>
          <w:tab w:val="left" w:pos="993"/>
        </w:tabs>
        <w:spacing w:after="0"/>
        <w:ind w:left="0" w:firstLine="567"/>
        <w:rPr>
          <w:rFonts w:cs="Times New Roman"/>
          <w:sz w:val="26"/>
          <w:szCs w:val="26"/>
        </w:rPr>
      </w:pPr>
      <w:proofErr w:type="gramStart"/>
      <w:r w:rsidRPr="009F3B54">
        <w:rPr>
          <w:rFonts w:cs="Times New Roman"/>
          <w:sz w:val="26"/>
          <w:szCs w:val="26"/>
        </w:rPr>
        <w:t>Вступление в силу отраслевых стандартов бухгалтерского учета финансовых инструментов для кредитных организаций предполагается с 1 января 2018 года, а планируемый выпуск в 2016 году позволит кредитным организациям провести подготовительные работы по классификации объектов учета, настройке (адаптации) программного обеспечения, используемого в целях бухгалтерского учета и составления бухгалтерской (финансовой) отчетности, к новым требованиям.</w:t>
      </w:r>
      <w:proofErr w:type="gramEnd"/>
    </w:p>
    <w:p w:rsidR="009F3B54" w:rsidRPr="00F70CAB" w:rsidRDefault="009F3B54" w:rsidP="00F70CAB">
      <w:pPr>
        <w:tabs>
          <w:tab w:val="left" w:pos="851"/>
        </w:tabs>
        <w:spacing w:after="0"/>
        <w:ind w:left="567" w:firstLine="0"/>
        <w:rPr>
          <w:rFonts w:cs="Times New Roman"/>
          <w:sz w:val="26"/>
          <w:szCs w:val="26"/>
        </w:rPr>
      </w:pPr>
    </w:p>
    <w:p w:rsidR="009E4C6B" w:rsidRPr="00F70CAB" w:rsidRDefault="009E4C6B" w:rsidP="00F70CAB">
      <w:pPr>
        <w:numPr>
          <w:ilvl w:val="0"/>
          <w:numId w:val="11"/>
        </w:numPr>
        <w:tabs>
          <w:tab w:val="left" w:pos="851"/>
        </w:tabs>
        <w:spacing w:after="0"/>
        <w:ind w:firstLine="567"/>
        <w:rPr>
          <w:rFonts w:cs="Times New Roman"/>
          <w:sz w:val="26"/>
          <w:szCs w:val="26"/>
        </w:rPr>
      </w:pPr>
      <w:proofErr w:type="gramStart"/>
      <w:r w:rsidRPr="00F70CAB">
        <w:rPr>
          <w:rFonts w:cs="Times New Roman"/>
          <w:sz w:val="26"/>
          <w:szCs w:val="26"/>
        </w:rPr>
        <w:lastRenderedPageBreak/>
        <w:t>В связи с вступлением в силу с 01.01.2016 Положения № 446-П и Указания Банка России № 3685-У от 22.06.2015 «О внесении изменений в Положение Банка России от 16.07.2012 № 385-П «О правилах ведения бухгалтерского учета в кредитных организациях, расположенных на территории Российской Федерации» просим разъяснить порядок расчета, порядок учета на отдельных лицевых счетах и порядок списания на расходы банка премии по долговым ценным</w:t>
      </w:r>
      <w:proofErr w:type="gramEnd"/>
      <w:r w:rsidRPr="00F70CAB">
        <w:rPr>
          <w:rFonts w:cs="Times New Roman"/>
          <w:sz w:val="26"/>
          <w:szCs w:val="26"/>
        </w:rPr>
        <w:t xml:space="preserve"> бумагам, которые были приобретены до 01.01.2016 по цене выше их номинальной стоимости и учтены на балансе банка по состоянию на 01.01.2016. Какой из вариантов является более предпочтительным:</w:t>
      </w:r>
    </w:p>
    <w:p w:rsidR="009E4C6B" w:rsidRPr="00F70CAB" w:rsidRDefault="009E4C6B" w:rsidP="00F70CAB">
      <w:pPr>
        <w:tabs>
          <w:tab w:val="left" w:pos="851"/>
        </w:tabs>
        <w:spacing w:after="0"/>
        <w:ind w:left="0" w:firstLine="567"/>
        <w:rPr>
          <w:rFonts w:cs="Times New Roman"/>
          <w:sz w:val="26"/>
          <w:szCs w:val="26"/>
        </w:rPr>
      </w:pPr>
      <w:r w:rsidRPr="00F70CAB">
        <w:rPr>
          <w:rFonts w:cs="Times New Roman"/>
          <w:sz w:val="26"/>
          <w:szCs w:val="26"/>
        </w:rPr>
        <w:t xml:space="preserve">Вариант 1: Сумма премии рассчитывается как разница между ценой приобретения и номинальной стоимостью долгового обязательства. Полученная разница переносится в первый балансовый день года на отдельный лицевой счет учета. В эту же дату происходит списание части премии на расходы, приходящуюся на период </w:t>
      </w:r>
      <w:proofErr w:type="gramStart"/>
      <w:r w:rsidRPr="00F70CAB">
        <w:rPr>
          <w:rFonts w:cs="Times New Roman"/>
          <w:sz w:val="26"/>
          <w:szCs w:val="26"/>
        </w:rPr>
        <w:t>с даты приобретения</w:t>
      </w:r>
      <w:proofErr w:type="gramEnd"/>
      <w:r w:rsidRPr="00F70CAB">
        <w:rPr>
          <w:rFonts w:cs="Times New Roman"/>
          <w:sz w:val="26"/>
          <w:szCs w:val="26"/>
        </w:rPr>
        <w:t xml:space="preserve"> до 31.12.15. В дальнейшем списание премии на расходы происходит пропорционально сроку обращения долгового обязательства (</w:t>
      </w:r>
      <w:proofErr w:type="gramStart"/>
      <w:r w:rsidRPr="00F70CAB">
        <w:rPr>
          <w:rFonts w:cs="Times New Roman"/>
          <w:sz w:val="26"/>
          <w:szCs w:val="26"/>
        </w:rPr>
        <w:t>с даты перехода</w:t>
      </w:r>
      <w:proofErr w:type="gramEnd"/>
      <w:r w:rsidRPr="00F70CAB">
        <w:rPr>
          <w:rFonts w:cs="Times New Roman"/>
          <w:sz w:val="26"/>
          <w:szCs w:val="26"/>
        </w:rPr>
        <w:t xml:space="preserve"> на новый порядок учета премии до даты погашения).</w:t>
      </w:r>
    </w:p>
    <w:p w:rsidR="009E4C6B" w:rsidRPr="00F70CAB" w:rsidRDefault="009E4C6B" w:rsidP="00F70CAB">
      <w:pPr>
        <w:tabs>
          <w:tab w:val="left" w:pos="851"/>
        </w:tabs>
        <w:spacing w:after="0"/>
        <w:ind w:left="0" w:firstLine="567"/>
        <w:rPr>
          <w:rFonts w:cs="Times New Roman"/>
          <w:sz w:val="26"/>
          <w:szCs w:val="26"/>
        </w:rPr>
      </w:pPr>
      <w:r w:rsidRPr="00F70CAB">
        <w:rPr>
          <w:rFonts w:cs="Times New Roman"/>
          <w:sz w:val="26"/>
          <w:szCs w:val="26"/>
        </w:rPr>
        <w:t>Вариант 2: Сумма премии рассчитывается как разница между ценой приобретения и номинальной стоимостью долгового обязательства. Полученная разница переносится в первый балансовый день года на отдельный лицевой счет учета. В дальнейшем списание премии на расходы происходит пропорционально сроку обращения долгового обязательства (</w:t>
      </w:r>
      <w:proofErr w:type="gramStart"/>
      <w:r w:rsidRPr="00F70CAB">
        <w:rPr>
          <w:rFonts w:cs="Times New Roman"/>
          <w:sz w:val="26"/>
          <w:szCs w:val="26"/>
        </w:rPr>
        <w:t>с даты перехода</w:t>
      </w:r>
      <w:proofErr w:type="gramEnd"/>
      <w:r w:rsidRPr="00F70CAB">
        <w:rPr>
          <w:rFonts w:cs="Times New Roman"/>
          <w:sz w:val="26"/>
          <w:szCs w:val="26"/>
        </w:rPr>
        <w:t xml:space="preserve"> на новый порядок учета премии до даты погашения).</w:t>
      </w:r>
    </w:p>
    <w:p w:rsidR="009E4C6B" w:rsidRPr="00F70CAB" w:rsidRDefault="009E4C6B" w:rsidP="00F70CAB">
      <w:pPr>
        <w:tabs>
          <w:tab w:val="left" w:pos="851"/>
        </w:tabs>
        <w:spacing w:after="0"/>
        <w:ind w:left="0" w:firstLine="567"/>
        <w:rPr>
          <w:rFonts w:cs="Times New Roman"/>
          <w:sz w:val="26"/>
          <w:szCs w:val="26"/>
        </w:rPr>
      </w:pPr>
      <w:r w:rsidRPr="00F70CAB">
        <w:rPr>
          <w:rFonts w:cs="Times New Roman"/>
          <w:sz w:val="26"/>
          <w:szCs w:val="26"/>
        </w:rPr>
        <w:t xml:space="preserve">Вариант 3: Сумма премии рассчитывается как разница между ценой приобретения и номинальной стоимостью долгового обязательства, деленную на общее количество дней </w:t>
      </w:r>
      <w:proofErr w:type="gramStart"/>
      <w:r w:rsidRPr="00F70CAB">
        <w:rPr>
          <w:rFonts w:cs="Times New Roman"/>
          <w:sz w:val="26"/>
          <w:szCs w:val="26"/>
        </w:rPr>
        <w:t>с даты приобретения</w:t>
      </w:r>
      <w:proofErr w:type="gramEnd"/>
      <w:r w:rsidRPr="00F70CAB">
        <w:rPr>
          <w:rFonts w:cs="Times New Roman"/>
          <w:sz w:val="26"/>
          <w:szCs w:val="26"/>
        </w:rPr>
        <w:t xml:space="preserve"> до даты погашения, и умноженную на количество дней с 01.01.2016 до даты погашения. На счете покупной стоимости остается сумма, которая не списывалась в прошлый период </w:t>
      </w:r>
      <w:proofErr w:type="gramStart"/>
      <w:r w:rsidRPr="00F70CAB">
        <w:rPr>
          <w:rFonts w:cs="Times New Roman"/>
          <w:sz w:val="26"/>
          <w:szCs w:val="26"/>
        </w:rPr>
        <w:t>с даты покупки</w:t>
      </w:r>
      <w:proofErr w:type="gramEnd"/>
      <w:r w:rsidRPr="00F70CAB">
        <w:rPr>
          <w:rFonts w:cs="Times New Roman"/>
          <w:sz w:val="26"/>
          <w:szCs w:val="26"/>
        </w:rPr>
        <w:t xml:space="preserve"> по дату перехода, в этом случае она будет участвовать в финансовом результате при реализации, погашении ценной бумаги. В дальнейшем списание премии на расходы происходит пропорционально сроку обращения долгового обязательства (</w:t>
      </w:r>
      <w:proofErr w:type="gramStart"/>
      <w:r w:rsidRPr="00F70CAB">
        <w:rPr>
          <w:rFonts w:cs="Times New Roman"/>
          <w:sz w:val="26"/>
          <w:szCs w:val="26"/>
        </w:rPr>
        <w:t>с даты перехода</w:t>
      </w:r>
      <w:proofErr w:type="gramEnd"/>
      <w:r w:rsidRPr="00F70CAB">
        <w:rPr>
          <w:rFonts w:cs="Times New Roman"/>
          <w:sz w:val="26"/>
          <w:szCs w:val="26"/>
        </w:rPr>
        <w:t xml:space="preserve"> на новый порядок учета премии до даты погашения).</w:t>
      </w:r>
    </w:p>
    <w:p w:rsidR="009E4C6B" w:rsidRDefault="009E4C6B" w:rsidP="00F70CAB">
      <w:pPr>
        <w:tabs>
          <w:tab w:val="left" w:pos="851"/>
        </w:tabs>
        <w:spacing w:after="0"/>
        <w:ind w:left="0" w:firstLine="567"/>
        <w:rPr>
          <w:rFonts w:cs="Times New Roman"/>
          <w:sz w:val="26"/>
          <w:szCs w:val="26"/>
        </w:rPr>
      </w:pPr>
      <w:r w:rsidRPr="00F70CAB">
        <w:rPr>
          <w:rFonts w:cs="Times New Roman"/>
          <w:sz w:val="26"/>
          <w:szCs w:val="26"/>
        </w:rPr>
        <w:t xml:space="preserve">Вариант 4: По </w:t>
      </w:r>
      <w:proofErr w:type="gramStart"/>
      <w:r w:rsidRPr="00F70CAB">
        <w:rPr>
          <w:rFonts w:cs="Times New Roman"/>
          <w:sz w:val="26"/>
          <w:szCs w:val="26"/>
        </w:rPr>
        <w:t>ценным бумагам, приобретенным до 01.01.2016 расчет и учет премии на отдельном лицевом счете не производится</w:t>
      </w:r>
      <w:proofErr w:type="gramEnd"/>
      <w:r w:rsidRPr="00F70CAB">
        <w:rPr>
          <w:rFonts w:cs="Times New Roman"/>
          <w:sz w:val="26"/>
          <w:szCs w:val="26"/>
        </w:rPr>
        <w:t>.</w:t>
      </w:r>
    </w:p>
    <w:p w:rsidR="00DB1711" w:rsidRPr="009F3B54" w:rsidRDefault="00DB1711" w:rsidP="00DB1711">
      <w:pPr>
        <w:tabs>
          <w:tab w:val="left" w:pos="851"/>
        </w:tabs>
        <w:spacing w:after="0"/>
        <w:ind w:left="0" w:firstLine="567"/>
        <w:rPr>
          <w:rFonts w:cs="Times New Roman"/>
          <w:b/>
          <w:sz w:val="26"/>
          <w:szCs w:val="26"/>
        </w:rPr>
      </w:pPr>
      <w:r w:rsidRPr="009F3B54">
        <w:rPr>
          <w:rFonts w:cs="Times New Roman"/>
          <w:b/>
          <w:sz w:val="26"/>
          <w:szCs w:val="26"/>
        </w:rPr>
        <w:t xml:space="preserve">Ответ </w:t>
      </w:r>
      <w:proofErr w:type="spellStart"/>
      <w:r w:rsidRPr="009F3B54">
        <w:rPr>
          <w:rFonts w:cs="Times New Roman"/>
          <w:b/>
          <w:sz w:val="26"/>
          <w:szCs w:val="26"/>
        </w:rPr>
        <w:t>ДБУиО</w:t>
      </w:r>
      <w:proofErr w:type="spellEnd"/>
    </w:p>
    <w:p w:rsidR="00DB1711" w:rsidRPr="00DB1711" w:rsidRDefault="00DB1711" w:rsidP="00DB1711">
      <w:pPr>
        <w:tabs>
          <w:tab w:val="left" w:pos="851"/>
          <w:tab w:val="left" w:pos="993"/>
        </w:tabs>
        <w:spacing w:after="0"/>
        <w:ind w:left="0" w:firstLine="567"/>
        <w:rPr>
          <w:rFonts w:cs="Times New Roman"/>
          <w:sz w:val="26"/>
          <w:szCs w:val="26"/>
        </w:rPr>
      </w:pPr>
      <w:proofErr w:type="gramStart"/>
      <w:r w:rsidRPr="00DB1711">
        <w:rPr>
          <w:rFonts w:cs="Times New Roman"/>
          <w:sz w:val="26"/>
          <w:szCs w:val="26"/>
        </w:rPr>
        <w:t>Для целей применения изменений, касающихся отражения в бухгалтерском учете процентных доходов по долговым ценным бумагам, внесенных в приложение 10 к Положению № 385-П Указанием Банка России от 22.06.2015 № 3685-У, сумму премии, числящуюся по состоянию на 01.01.2016 на лицевом счете по учету вложений в долговые обязательства, следует перенести на отдельный лицевой счет «Премия, уменьшающая процентные доходы» и в дальнейшем списывать ее на</w:t>
      </w:r>
      <w:proofErr w:type="gramEnd"/>
      <w:r w:rsidRPr="00DB1711">
        <w:rPr>
          <w:rFonts w:cs="Times New Roman"/>
          <w:sz w:val="26"/>
          <w:szCs w:val="26"/>
        </w:rPr>
        <w:t xml:space="preserve"> </w:t>
      </w:r>
      <w:r w:rsidRPr="00DB1711">
        <w:rPr>
          <w:rFonts w:cs="Times New Roman"/>
          <w:sz w:val="26"/>
          <w:szCs w:val="26"/>
        </w:rPr>
        <w:lastRenderedPageBreak/>
        <w:t>расходы в порядке, установленном подпунктом 3.3.3 пункта 3.3 вышеуказанного приложения, рассчитывая срок обращения ценной бумаги с 01.01.2016.</w:t>
      </w:r>
    </w:p>
    <w:p w:rsidR="00DB1711" w:rsidRPr="00F70CAB" w:rsidRDefault="00DB1711" w:rsidP="00F70CAB">
      <w:pPr>
        <w:tabs>
          <w:tab w:val="left" w:pos="851"/>
        </w:tabs>
        <w:spacing w:after="0"/>
        <w:ind w:left="0" w:firstLine="567"/>
        <w:rPr>
          <w:rFonts w:cs="Times New Roman"/>
          <w:sz w:val="26"/>
          <w:szCs w:val="26"/>
        </w:rPr>
      </w:pPr>
    </w:p>
    <w:p w:rsidR="009E4C6B" w:rsidRDefault="009E4C6B" w:rsidP="00DF7DB9">
      <w:pPr>
        <w:numPr>
          <w:ilvl w:val="0"/>
          <w:numId w:val="11"/>
        </w:numPr>
        <w:tabs>
          <w:tab w:val="left" w:pos="851"/>
          <w:tab w:val="left" w:pos="993"/>
        </w:tabs>
        <w:spacing w:after="0"/>
        <w:ind w:firstLine="567"/>
        <w:rPr>
          <w:rFonts w:cs="Times New Roman"/>
          <w:sz w:val="26"/>
          <w:szCs w:val="26"/>
        </w:rPr>
      </w:pPr>
      <w:r w:rsidRPr="00F70CAB">
        <w:rPr>
          <w:rFonts w:cs="Times New Roman"/>
          <w:sz w:val="26"/>
          <w:szCs w:val="26"/>
        </w:rPr>
        <w:t xml:space="preserve">С недавнего времени изменилась позиция ИФНС в части порядка уплаты банками НДС при продаже имущества, полученного из конкурсной массы в ходе банкротства заемщика. Если ранее банк уплачивал НДС только с </w:t>
      </w:r>
      <w:proofErr w:type="spellStart"/>
      <w:r w:rsidRPr="00F70CAB">
        <w:rPr>
          <w:rFonts w:cs="Times New Roman"/>
          <w:sz w:val="26"/>
          <w:szCs w:val="26"/>
        </w:rPr>
        <w:t>межценовой</w:t>
      </w:r>
      <w:proofErr w:type="spellEnd"/>
      <w:r w:rsidRPr="00F70CAB">
        <w:rPr>
          <w:rFonts w:cs="Times New Roman"/>
          <w:sz w:val="26"/>
          <w:szCs w:val="26"/>
        </w:rPr>
        <w:t xml:space="preserve"> разницы (цена продажи минус цена приобретения), поскольку имущество приобреталось с НДС, то сейчас – с полной стоимости имущества, т.к. имущество продается конкурсным управляющим без НДС. Таким образом, банк несет дополнительные потери при </w:t>
      </w:r>
      <w:proofErr w:type="gramStart"/>
      <w:r w:rsidRPr="00F70CAB">
        <w:rPr>
          <w:rFonts w:cs="Times New Roman"/>
          <w:sz w:val="26"/>
          <w:szCs w:val="26"/>
        </w:rPr>
        <w:t>продаже</w:t>
      </w:r>
      <w:proofErr w:type="gramEnd"/>
      <w:r w:rsidRPr="00F70CAB">
        <w:rPr>
          <w:rFonts w:cs="Times New Roman"/>
          <w:sz w:val="26"/>
          <w:szCs w:val="26"/>
        </w:rPr>
        <w:t xml:space="preserve"> залога в размере 18%. </w:t>
      </w:r>
      <w:proofErr w:type="gramStart"/>
      <w:r w:rsidRPr="00F70CAB">
        <w:rPr>
          <w:rFonts w:cs="Times New Roman"/>
          <w:sz w:val="26"/>
          <w:szCs w:val="26"/>
        </w:rPr>
        <w:t>Какова</w:t>
      </w:r>
      <w:proofErr w:type="gramEnd"/>
      <w:r w:rsidRPr="00F70CAB">
        <w:rPr>
          <w:rFonts w:cs="Times New Roman"/>
          <w:sz w:val="26"/>
          <w:szCs w:val="26"/>
        </w:rPr>
        <w:t xml:space="preserve"> позиция Банка России по сложившейся ситуации?</w:t>
      </w:r>
    </w:p>
    <w:p w:rsidR="001E615D" w:rsidRPr="001E615D" w:rsidRDefault="001E615D" w:rsidP="001E615D">
      <w:pPr>
        <w:tabs>
          <w:tab w:val="left" w:pos="851"/>
        </w:tabs>
        <w:spacing w:after="0"/>
        <w:ind w:left="0" w:firstLine="567"/>
        <w:rPr>
          <w:rFonts w:cs="Times New Roman"/>
          <w:b/>
          <w:sz w:val="26"/>
          <w:szCs w:val="26"/>
        </w:rPr>
      </w:pPr>
      <w:r w:rsidRPr="001E615D">
        <w:rPr>
          <w:rFonts w:cs="Times New Roman"/>
          <w:b/>
          <w:sz w:val="26"/>
          <w:szCs w:val="26"/>
        </w:rPr>
        <w:t xml:space="preserve">Ответ </w:t>
      </w:r>
      <w:proofErr w:type="spellStart"/>
      <w:r w:rsidRPr="001E615D">
        <w:rPr>
          <w:rFonts w:cs="Times New Roman"/>
          <w:b/>
          <w:sz w:val="26"/>
          <w:szCs w:val="26"/>
        </w:rPr>
        <w:t>ДБУиО</w:t>
      </w:r>
      <w:proofErr w:type="spellEnd"/>
    </w:p>
    <w:p w:rsidR="001E615D" w:rsidRPr="001E615D" w:rsidRDefault="001E615D" w:rsidP="001E615D">
      <w:pPr>
        <w:tabs>
          <w:tab w:val="left" w:pos="851"/>
          <w:tab w:val="left" w:pos="993"/>
        </w:tabs>
        <w:spacing w:after="0"/>
        <w:ind w:left="0" w:firstLine="567"/>
        <w:rPr>
          <w:rFonts w:cs="Times New Roman"/>
          <w:sz w:val="26"/>
          <w:szCs w:val="26"/>
        </w:rPr>
      </w:pPr>
      <w:r w:rsidRPr="001E615D">
        <w:rPr>
          <w:rFonts w:cs="Times New Roman"/>
          <w:sz w:val="26"/>
          <w:szCs w:val="26"/>
        </w:rPr>
        <w:t xml:space="preserve">Банк России не наделен правом официального толкования законодательства Российской Федерации о налогах и сборах. В связи с чем, </w:t>
      </w:r>
      <w:proofErr w:type="spellStart"/>
      <w:r w:rsidRPr="001E615D">
        <w:rPr>
          <w:rFonts w:cs="Times New Roman"/>
          <w:sz w:val="26"/>
          <w:szCs w:val="26"/>
        </w:rPr>
        <w:t>ДБУиО</w:t>
      </w:r>
      <w:proofErr w:type="spellEnd"/>
      <w:r w:rsidRPr="001E615D">
        <w:rPr>
          <w:rFonts w:cs="Times New Roman"/>
          <w:sz w:val="26"/>
          <w:szCs w:val="26"/>
        </w:rPr>
        <w:t xml:space="preserve"> не </w:t>
      </w:r>
      <w:proofErr w:type="gramStart"/>
      <w:r w:rsidRPr="001E615D">
        <w:rPr>
          <w:rFonts w:cs="Times New Roman"/>
          <w:sz w:val="26"/>
          <w:szCs w:val="26"/>
        </w:rPr>
        <w:t>уполномочен</w:t>
      </w:r>
      <w:proofErr w:type="gramEnd"/>
      <w:r w:rsidRPr="001E615D">
        <w:rPr>
          <w:rFonts w:cs="Times New Roman"/>
          <w:sz w:val="26"/>
          <w:szCs w:val="26"/>
        </w:rPr>
        <w:t xml:space="preserve"> комментировать вопросы применения каких-либо норм Налогового кодекса Российской Федерации.</w:t>
      </w:r>
    </w:p>
    <w:p w:rsidR="00DF7DB9" w:rsidRDefault="00DF7DB9" w:rsidP="00DF7DB9">
      <w:pPr>
        <w:tabs>
          <w:tab w:val="left" w:pos="851"/>
          <w:tab w:val="left" w:pos="993"/>
        </w:tabs>
        <w:spacing w:after="0"/>
        <w:ind w:left="567" w:firstLine="0"/>
        <w:rPr>
          <w:rFonts w:cs="Times New Roman"/>
          <w:sz w:val="26"/>
          <w:szCs w:val="26"/>
        </w:rPr>
      </w:pPr>
    </w:p>
    <w:p w:rsidR="009E4C6B" w:rsidRDefault="009E4C6B" w:rsidP="00DF7DB9">
      <w:pPr>
        <w:numPr>
          <w:ilvl w:val="0"/>
          <w:numId w:val="11"/>
        </w:numPr>
        <w:tabs>
          <w:tab w:val="left" w:pos="851"/>
          <w:tab w:val="left" w:pos="993"/>
        </w:tabs>
        <w:spacing w:after="0"/>
        <w:ind w:firstLine="567"/>
        <w:rPr>
          <w:rFonts w:cs="Times New Roman"/>
          <w:sz w:val="26"/>
          <w:szCs w:val="26"/>
        </w:rPr>
      </w:pPr>
      <w:r w:rsidRPr="00F70CAB">
        <w:rPr>
          <w:rFonts w:cs="Times New Roman"/>
          <w:sz w:val="26"/>
          <w:szCs w:val="26"/>
        </w:rPr>
        <w:t>Планирует ли Центральный Банк РФ сокр</w:t>
      </w:r>
      <w:r w:rsidR="0072370B">
        <w:rPr>
          <w:rFonts w:cs="Times New Roman"/>
          <w:sz w:val="26"/>
          <w:szCs w:val="26"/>
        </w:rPr>
        <w:t>ащение количества представляемых</w:t>
      </w:r>
      <w:r w:rsidRPr="00F70CAB">
        <w:rPr>
          <w:rFonts w:cs="Times New Roman"/>
          <w:sz w:val="26"/>
          <w:szCs w:val="26"/>
        </w:rPr>
        <w:t xml:space="preserve"> кредитными организациями отчетов?</w:t>
      </w:r>
    </w:p>
    <w:p w:rsidR="00DF7DB9" w:rsidRPr="008E3597" w:rsidRDefault="008E3597" w:rsidP="00DF7DB9">
      <w:pPr>
        <w:tabs>
          <w:tab w:val="left" w:pos="851"/>
          <w:tab w:val="left" w:pos="993"/>
        </w:tabs>
        <w:spacing w:after="0"/>
        <w:ind w:left="567" w:firstLine="0"/>
        <w:rPr>
          <w:rFonts w:cs="Times New Roman"/>
          <w:b/>
          <w:sz w:val="26"/>
          <w:szCs w:val="26"/>
        </w:rPr>
      </w:pPr>
      <w:r w:rsidRPr="008E3597">
        <w:rPr>
          <w:rFonts w:cs="Times New Roman"/>
          <w:b/>
          <w:sz w:val="26"/>
          <w:szCs w:val="26"/>
        </w:rPr>
        <w:t>Ответ Департамента статистики:</w:t>
      </w:r>
    </w:p>
    <w:p w:rsidR="008E3597" w:rsidRDefault="008E3597" w:rsidP="008E3597">
      <w:pPr>
        <w:tabs>
          <w:tab w:val="left" w:pos="851"/>
          <w:tab w:val="left" w:pos="993"/>
        </w:tabs>
        <w:spacing w:after="0"/>
        <w:ind w:left="0" w:firstLine="567"/>
        <w:rPr>
          <w:rFonts w:cs="Times New Roman"/>
          <w:sz w:val="26"/>
          <w:szCs w:val="26"/>
        </w:rPr>
      </w:pPr>
      <w:r w:rsidRPr="008E3597">
        <w:rPr>
          <w:rFonts w:cs="Times New Roman"/>
          <w:sz w:val="26"/>
          <w:szCs w:val="26"/>
        </w:rPr>
        <w:t xml:space="preserve">Вопросы оптимизации отчетности, включая сокращение количества представляемых отчетов, а также проекты новых форм отчетности и сроки введения их в действие обсуждаются в Банке </w:t>
      </w:r>
      <w:proofErr w:type="gramStart"/>
      <w:r w:rsidRPr="008E3597">
        <w:rPr>
          <w:rFonts w:cs="Times New Roman"/>
          <w:sz w:val="26"/>
          <w:szCs w:val="26"/>
        </w:rPr>
        <w:t>России</w:t>
      </w:r>
      <w:proofErr w:type="gramEnd"/>
      <w:r w:rsidRPr="008E3597">
        <w:rPr>
          <w:rFonts w:cs="Times New Roman"/>
          <w:sz w:val="26"/>
          <w:szCs w:val="26"/>
        </w:rPr>
        <w:t xml:space="preserve"> на заседаниях постоянно действующей Рабочей группы по вопросам развития статистической работы в Банке России и оптимизации отчетности, членами которой, в том числе являются представители Ассоциации «Россия».</w:t>
      </w:r>
    </w:p>
    <w:p w:rsidR="008E3597" w:rsidRPr="00F70CAB" w:rsidRDefault="008E3597" w:rsidP="00DF7DB9">
      <w:pPr>
        <w:tabs>
          <w:tab w:val="left" w:pos="851"/>
          <w:tab w:val="left" w:pos="993"/>
        </w:tabs>
        <w:spacing w:after="0"/>
        <w:ind w:left="567" w:firstLine="0"/>
        <w:rPr>
          <w:rFonts w:cs="Times New Roman"/>
          <w:sz w:val="26"/>
          <w:szCs w:val="26"/>
        </w:rPr>
      </w:pPr>
    </w:p>
    <w:p w:rsidR="009E4C6B" w:rsidRPr="00DF7DB9" w:rsidRDefault="009E4C6B" w:rsidP="00DF7DB9">
      <w:pPr>
        <w:numPr>
          <w:ilvl w:val="0"/>
          <w:numId w:val="11"/>
        </w:numPr>
        <w:tabs>
          <w:tab w:val="left" w:pos="851"/>
          <w:tab w:val="left" w:pos="993"/>
        </w:tabs>
        <w:spacing w:after="0"/>
        <w:ind w:firstLine="567"/>
        <w:rPr>
          <w:rFonts w:eastAsia="Calibri" w:cs="Times New Roman"/>
          <w:sz w:val="26"/>
          <w:szCs w:val="26"/>
        </w:rPr>
      </w:pPr>
      <w:r w:rsidRPr="00F70CAB">
        <w:rPr>
          <w:rFonts w:cs="Times New Roman"/>
          <w:sz w:val="26"/>
          <w:szCs w:val="26"/>
        </w:rPr>
        <w:t xml:space="preserve">С 1 января 2016 года банки ежемесячно составляют и представляют в Банк России отчетность по форме 0409303 «Сведения о ссудах, предоставленных юридическим лицам». Сведения, содержащиеся в указанной отчетности, дублируют данные представляемые по форме 0409117 «Сведения о крупных ссудах» и по форме 0409115 «Информация о качестве активов кредитной организации» (в части  данных по ссудам  юридических лиц). </w:t>
      </w:r>
      <w:r w:rsidRPr="00F70CAB">
        <w:rPr>
          <w:rFonts w:eastAsia="Calibri" w:cs="Times New Roman"/>
          <w:sz w:val="26"/>
          <w:szCs w:val="26"/>
        </w:rPr>
        <w:t>Планирует ли Банк России отменить представление  отчета по форме 0409117 и исключение из формы 0409115 данных по ссудам юридических лиц</w:t>
      </w:r>
      <w:r w:rsidRPr="00F70CAB">
        <w:rPr>
          <w:rFonts w:cs="Times New Roman"/>
          <w:sz w:val="26"/>
          <w:szCs w:val="26"/>
        </w:rPr>
        <w:t xml:space="preserve"> и если да, то с какого периода?</w:t>
      </w:r>
    </w:p>
    <w:p w:rsidR="008E3597" w:rsidRPr="008E3597" w:rsidRDefault="008E3597" w:rsidP="008E3597">
      <w:pPr>
        <w:tabs>
          <w:tab w:val="left" w:pos="851"/>
          <w:tab w:val="left" w:pos="993"/>
        </w:tabs>
        <w:spacing w:after="0"/>
        <w:rPr>
          <w:rFonts w:cs="Times New Roman"/>
          <w:b/>
          <w:sz w:val="26"/>
          <w:szCs w:val="26"/>
        </w:rPr>
      </w:pPr>
      <w:r w:rsidRPr="008E3597">
        <w:rPr>
          <w:rFonts w:cs="Times New Roman"/>
          <w:b/>
          <w:sz w:val="26"/>
          <w:szCs w:val="26"/>
        </w:rPr>
        <w:t>Ответ Департамента статистики:</w:t>
      </w:r>
    </w:p>
    <w:p w:rsidR="008E3597" w:rsidRPr="008E3597" w:rsidRDefault="008E3597" w:rsidP="008E3597">
      <w:pPr>
        <w:tabs>
          <w:tab w:val="left" w:pos="851"/>
          <w:tab w:val="left" w:pos="993"/>
        </w:tabs>
        <w:spacing w:after="0"/>
        <w:ind w:left="0" w:firstLine="567"/>
        <w:rPr>
          <w:rFonts w:cs="Times New Roman"/>
          <w:sz w:val="26"/>
          <w:szCs w:val="26"/>
        </w:rPr>
      </w:pPr>
      <w:proofErr w:type="gramStart"/>
      <w:r w:rsidRPr="008E3597">
        <w:rPr>
          <w:rFonts w:cs="Times New Roman"/>
          <w:sz w:val="26"/>
          <w:szCs w:val="26"/>
        </w:rPr>
        <w:t xml:space="preserve">Отмена формы 0409117 «Данные о крупных ссудах», а также сокращение информации, представляемой кредитными организациями в рамках отчетности по формам 0409128 «Данные о средневзвешенных процентных ставках по средствам, предоставленным кредитной организацией» и 0409302 «Сведения о размещенных и привлеченных средствах», в части сведений по кредитованию юридических лиц, </w:t>
      </w:r>
      <w:r w:rsidRPr="008E3597">
        <w:rPr>
          <w:rFonts w:cs="Times New Roman"/>
          <w:sz w:val="26"/>
          <w:szCs w:val="26"/>
        </w:rPr>
        <w:lastRenderedPageBreak/>
        <w:t>планируется после того, как будет отлажен сбор данных по форме 0409303 «Сведения о ссудах, предоставленных</w:t>
      </w:r>
      <w:proofErr w:type="gramEnd"/>
      <w:r w:rsidRPr="008E3597">
        <w:rPr>
          <w:rFonts w:cs="Times New Roman"/>
          <w:sz w:val="26"/>
          <w:szCs w:val="26"/>
        </w:rPr>
        <w:t xml:space="preserve"> юридическим лицам».</w:t>
      </w:r>
    </w:p>
    <w:p w:rsidR="008E3597" w:rsidRPr="00F70CAB" w:rsidRDefault="008E3597" w:rsidP="008E3597">
      <w:pPr>
        <w:tabs>
          <w:tab w:val="left" w:pos="851"/>
          <w:tab w:val="left" w:pos="993"/>
        </w:tabs>
        <w:spacing w:after="0"/>
        <w:ind w:left="0" w:firstLine="0"/>
        <w:rPr>
          <w:rFonts w:eastAsia="Calibri" w:cs="Times New Roman"/>
          <w:sz w:val="26"/>
          <w:szCs w:val="26"/>
        </w:rPr>
      </w:pPr>
    </w:p>
    <w:p w:rsidR="009E4C6B" w:rsidRPr="00F70CAB" w:rsidRDefault="009E4C6B" w:rsidP="00DF7DB9">
      <w:pPr>
        <w:numPr>
          <w:ilvl w:val="0"/>
          <w:numId w:val="11"/>
        </w:numPr>
        <w:tabs>
          <w:tab w:val="left" w:pos="851"/>
          <w:tab w:val="left" w:pos="993"/>
        </w:tabs>
        <w:spacing w:after="0"/>
        <w:ind w:firstLine="567"/>
        <w:rPr>
          <w:rFonts w:cs="Times New Roman"/>
          <w:sz w:val="26"/>
          <w:szCs w:val="26"/>
        </w:rPr>
      </w:pPr>
      <w:r w:rsidRPr="00F70CAB">
        <w:rPr>
          <w:rFonts w:cs="Times New Roman"/>
          <w:sz w:val="26"/>
          <w:szCs w:val="26"/>
        </w:rPr>
        <w:t>Для проведения отдельных видов операций (первое применение отложенных налогов, неиспользованных отпусков работников) Банк России дает возможность использовать счет 108, вместо счетов расходов 706. В результате банкам предоставляется право без решения акционеров расходовать ранее полученную, но неиспользованную чистую прибыль. Насколько предлагаемые действия правомерны?</w:t>
      </w:r>
    </w:p>
    <w:p w:rsidR="000B40F7" w:rsidRPr="000B40F7" w:rsidRDefault="000B40F7" w:rsidP="000B40F7">
      <w:pPr>
        <w:tabs>
          <w:tab w:val="left" w:pos="851"/>
        </w:tabs>
        <w:spacing w:after="0"/>
        <w:ind w:left="0" w:firstLine="567"/>
        <w:rPr>
          <w:rFonts w:cs="Times New Roman"/>
          <w:b/>
          <w:sz w:val="26"/>
          <w:szCs w:val="26"/>
        </w:rPr>
      </w:pPr>
      <w:r w:rsidRPr="000B40F7">
        <w:rPr>
          <w:rFonts w:cs="Times New Roman"/>
          <w:b/>
          <w:sz w:val="26"/>
          <w:szCs w:val="26"/>
        </w:rPr>
        <w:t xml:space="preserve">Ответ </w:t>
      </w:r>
      <w:proofErr w:type="spellStart"/>
      <w:r w:rsidRPr="000B40F7">
        <w:rPr>
          <w:rFonts w:cs="Times New Roman"/>
          <w:b/>
          <w:sz w:val="26"/>
          <w:szCs w:val="26"/>
        </w:rPr>
        <w:t>ДБУиО</w:t>
      </w:r>
      <w:proofErr w:type="spellEnd"/>
    </w:p>
    <w:p w:rsidR="000B40F7" w:rsidRPr="000B40F7" w:rsidRDefault="000B40F7" w:rsidP="000B40F7">
      <w:pPr>
        <w:tabs>
          <w:tab w:val="left" w:pos="851"/>
          <w:tab w:val="left" w:pos="993"/>
        </w:tabs>
        <w:spacing w:after="0"/>
        <w:ind w:left="0" w:firstLine="567"/>
        <w:rPr>
          <w:rFonts w:cs="Times New Roman"/>
          <w:sz w:val="26"/>
          <w:szCs w:val="26"/>
        </w:rPr>
      </w:pPr>
      <w:r w:rsidRPr="000B40F7">
        <w:rPr>
          <w:rFonts w:cs="Times New Roman"/>
          <w:sz w:val="26"/>
          <w:szCs w:val="26"/>
        </w:rPr>
        <w:t>В перечисленных в вопросе случаях новую учетную политику требовалось применять ретроспективно.</w:t>
      </w:r>
    </w:p>
    <w:p w:rsidR="000B40F7" w:rsidRPr="000B40F7" w:rsidRDefault="000B40F7" w:rsidP="000B40F7">
      <w:pPr>
        <w:tabs>
          <w:tab w:val="left" w:pos="851"/>
          <w:tab w:val="left" w:pos="993"/>
        </w:tabs>
        <w:spacing w:after="0"/>
        <w:ind w:left="0" w:firstLine="567"/>
        <w:rPr>
          <w:rFonts w:cs="Times New Roman"/>
          <w:sz w:val="26"/>
          <w:szCs w:val="26"/>
        </w:rPr>
      </w:pPr>
      <w:r w:rsidRPr="000B40F7">
        <w:rPr>
          <w:rFonts w:cs="Times New Roman"/>
          <w:sz w:val="26"/>
          <w:szCs w:val="26"/>
        </w:rPr>
        <w:t>Согласно пункту 26 МСФО (IAS) 8 «Учетная политика, изменения в бухгалтерских оценках и ошибки» при применении новой учетной политики ретроспективно сумму корректировки, относящуюся к периодам, предшествующим представленным в финансовой отчетности, следует относить на начальное сальдо каждого затронутого изменением компонента капитала в самом раннем из представленных периодов. Обычно корректируется нераспределенная прибыль.</w:t>
      </w:r>
    </w:p>
    <w:p w:rsidR="000B40F7" w:rsidRPr="00F70CAB" w:rsidRDefault="000B40F7" w:rsidP="000B40F7">
      <w:pPr>
        <w:pStyle w:val="ConsPlusNormal"/>
        <w:tabs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</w:p>
    <w:p w:rsidR="000704E8" w:rsidRDefault="000704E8" w:rsidP="00DF7DB9">
      <w:pPr>
        <w:tabs>
          <w:tab w:val="left" w:pos="851"/>
          <w:tab w:val="left" w:pos="993"/>
        </w:tabs>
        <w:spacing w:after="0"/>
        <w:ind w:left="0" w:firstLine="567"/>
        <w:jc w:val="center"/>
        <w:rPr>
          <w:rFonts w:cs="Times New Roman"/>
          <w:i/>
          <w:sz w:val="26"/>
          <w:szCs w:val="26"/>
          <w:u w:val="single"/>
        </w:rPr>
      </w:pPr>
      <w:r w:rsidRPr="00F70CAB">
        <w:rPr>
          <w:rFonts w:cs="Times New Roman"/>
          <w:i/>
          <w:sz w:val="26"/>
          <w:szCs w:val="26"/>
          <w:u w:val="single"/>
        </w:rPr>
        <w:t>Блок «Предложения».</w:t>
      </w:r>
    </w:p>
    <w:p w:rsidR="00DF7DB9" w:rsidRPr="00F70CAB" w:rsidRDefault="00DF7DB9" w:rsidP="00DF7DB9">
      <w:pPr>
        <w:tabs>
          <w:tab w:val="left" w:pos="851"/>
          <w:tab w:val="left" w:pos="993"/>
        </w:tabs>
        <w:spacing w:after="0"/>
        <w:ind w:left="0" w:firstLine="567"/>
        <w:jc w:val="center"/>
        <w:rPr>
          <w:rFonts w:cs="Times New Roman"/>
          <w:i/>
          <w:sz w:val="26"/>
          <w:szCs w:val="26"/>
          <w:u w:val="single"/>
        </w:rPr>
      </w:pPr>
    </w:p>
    <w:p w:rsidR="009E4C6B" w:rsidRDefault="009E4C6B" w:rsidP="00DF7DB9">
      <w:pPr>
        <w:numPr>
          <w:ilvl w:val="0"/>
          <w:numId w:val="12"/>
        </w:numPr>
        <w:tabs>
          <w:tab w:val="left" w:pos="851"/>
        </w:tabs>
        <w:spacing w:after="0"/>
        <w:ind w:firstLine="567"/>
        <w:rPr>
          <w:rFonts w:cs="Times New Roman"/>
          <w:sz w:val="26"/>
          <w:szCs w:val="26"/>
        </w:rPr>
      </w:pPr>
      <w:bookmarkStart w:id="0" w:name="_GoBack"/>
      <w:bookmarkEnd w:id="0"/>
      <w:r w:rsidRPr="00F70CAB">
        <w:rPr>
          <w:rFonts w:cs="Times New Roman"/>
          <w:sz w:val="26"/>
          <w:szCs w:val="26"/>
        </w:rPr>
        <w:t>В настоящее время отчетность по форме 0409101 «Оборотная ведомость по счетам бухгалтерского учета» сдается в тысячах рублей. При работе с программным обеспечением регулярно возникают математически объективные проблемы в части верности округления балансовых счетов. Сотрудникам кредитных организаций приходится вносить корректировки вручную, так как программным путем не всегда удается сбалансировать отчет. Предлагаем рассмотреть вопрос о том, чтобы в программу KLIKO добавить технический счет (балансирующий), на который будут сбрасываться лишние единицы при округлении. Тогда округление балансовых счетов можно было бы произвести с максимальной точностью, при этом сбалансировав отчет.</w:t>
      </w:r>
    </w:p>
    <w:p w:rsidR="00604360" w:rsidRPr="00604360" w:rsidRDefault="00604360" w:rsidP="00604360">
      <w:pPr>
        <w:pStyle w:val="a3"/>
        <w:tabs>
          <w:tab w:val="left" w:pos="851"/>
        </w:tabs>
        <w:spacing w:after="0"/>
        <w:ind w:left="709" w:firstLine="0"/>
        <w:rPr>
          <w:rFonts w:cs="Times New Roman"/>
          <w:b/>
          <w:sz w:val="26"/>
          <w:szCs w:val="26"/>
        </w:rPr>
      </w:pPr>
      <w:r w:rsidRPr="00604360">
        <w:rPr>
          <w:rFonts w:cs="Times New Roman"/>
          <w:b/>
          <w:sz w:val="26"/>
          <w:szCs w:val="26"/>
        </w:rPr>
        <w:t xml:space="preserve">Ответ </w:t>
      </w:r>
      <w:proofErr w:type="spellStart"/>
      <w:r w:rsidRPr="00604360">
        <w:rPr>
          <w:rFonts w:cs="Times New Roman"/>
          <w:b/>
          <w:sz w:val="26"/>
          <w:szCs w:val="26"/>
        </w:rPr>
        <w:t>ДБУиО</w:t>
      </w:r>
      <w:proofErr w:type="spellEnd"/>
    </w:p>
    <w:p w:rsidR="00604360" w:rsidRPr="00604360" w:rsidRDefault="00604360" w:rsidP="00604360">
      <w:pPr>
        <w:tabs>
          <w:tab w:val="left" w:pos="851"/>
          <w:tab w:val="left" w:pos="993"/>
        </w:tabs>
        <w:spacing w:after="0"/>
        <w:ind w:left="0" w:firstLine="567"/>
        <w:rPr>
          <w:rFonts w:cs="Times New Roman"/>
          <w:sz w:val="26"/>
          <w:szCs w:val="26"/>
        </w:rPr>
      </w:pPr>
      <w:r w:rsidRPr="00604360">
        <w:rPr>
          <w:rFonts w:cs="Times New Roman"/>
          <w:sz w:val="26"/>
          <w:szCs w:val="26"/>
        </w:rPr>
        <w:t xml:space="preserve">Предложение переадресовано профильному департаменту Банка России для подготовки комментария. </w:t>
      </w:r>
    </w:p>
    <w:p w:rsidR="00910F22" w:rsidRDefault="00910F22" w:rsidP="00910F22">
      <w:pPr>
        <w:pStyle w:val="a3"/>
        <w:tabs>
          <w:tab w:val="left" w:pos="851"/>
        </w:tabs>
        <w:spacing w:after="0"/>
        <w:ind w:left="709" w:firstLine="0"/>
        <w:rPr>
          <w:rFonts w:cs="Times New Roman"/>
          <w:b/>
          <w:sz w:val="26"/>
          <w:szCs w:val="26"/>
        </w:rPr>
      </w:pPr>
    </w:p>
    <w:p w:rsidR="009E4C6B" w:rsidRDefault="009E4C6B" w:rsidP="00F70CAB">
      <w:pPr>
        <w:numPr>
          <w:ilvl w:val="0"/>
          <w:numId w:val="12"/>
        </w:numPr>
        <w:tabs>
          <w:tab w:val="left" w:pos="851"/>
        </w:tabs>
        <w:spacing w:after="0"/>
        <w:ind w:firstLine="567"/>
        <w:rPr>
          <w:rFonts w:cs="Times New Roman"/>
          <w:sz w:val="26"/>
          <w:szCs w:val="26"/>
        </w:rPr>
      </w:pPr>
      <w:r w:rsidRPr="00F70CAB">
        <w:rPr>
          <w:rFonts w:cs="Times New Roman"/>
          <w:sz w:val="26"/>
          <w:szCs w:val="26"/>
        </w:rPr>
        <w:t xml:space="preserve">Банки предлагают пересмотреть Положение №385-П в части изменения пункта, касающегося выдачи всем клиентам выписок по счету на бумажном носителе по состоянию на 01 января: </w:t>
      </w:r>
      <w:proofErr w:type="gramStart"/>
      <w:r w:rsidRPr="00F70CAB">
        <w:rPr>
          <w:rFonts w:cs="Times New Roman"/>
          <w:sz w:val="26"/>
          <w:szCs w:val="26"/>
        </w:rPr>
        <w:t xml:space="preserve">"Выписки из лицевых счетов по банковским счетам клиентов за последний рабочий день года (по состоянию на 1 января года, следующего за отчетным), а также в других случаях, если это предусмотрено законодательством Российской Федерации, подлежат выдаче клиентам на </w:t>
      </w:r>
      <w:r w:rsidRPr="00F70CAB">
        <w:rPr>
          <w:rFonts w:cs="Times New Roman"/>
          <w:sz w:val="26"/>
          <w:szCs w:val="26"/>
        </w:rPr>
        <w:lastRenderedPageBreak/>
        <w:t>бумажном носителе." Большинство клиентов банков работают и получают выписки по системам дистанционного банковского обслуживания.</w:t>
      </w:r>
      <w:proofErr w:type="gramEnd"/>
      <w:r w:rsidRPr="00F70CAB">
        <w:rPr>
          <w:rFonts w:cs="Times New Roman"/>
          <w:sz w:val="26"/>
          <w:szCs w:val="26"/>
        </w:rPr>
        <w:t xml:space="preserve"> Таким образом, распечатанные выписки по состоянию на 01 января зачастую не востребованы клиентами.</w:t>
      </w:r>
    </w:p>
    <w:p w:rsidR="00910F22" w:rsidRDefault="00910F22" w:rsidP="00910F22">
      <w:pPr>
        <w:tabs>
          <w:tab w:val="left" w:pos="851"/>
        </w:tabs>
        <w:spacing w:after="0"/>
        <w:ind w:left="0" w:firstLine="567"/>
        <w:rPr>
          <w:rFonts w:cs="Times New Roman"/>
          <w:b/>
          <w:sz w:val="26"/>
          <w:szCs w:val="26"/>
        </w:rPr>
      </w:pPr>
      <w:r w:rsidRPr="00910F22">
        <w:rPr>
          <w:rFonts w:cs="Times New Roman"/>
          <w:b/>
          <w:sz w:val="26"/>
          <w:szCs w:val="26"/>
        </w:rPr>
        <w:t xml:space="preserve">Ответ </w:t>
      </w:r>
      <w:proofErr w:type="spellStart"/>
      <w:r w:rsidRPr="00910F22">
        <w:rPr>
          <w:rFonts w:cs="Times New Roman"/>
          <w:b/>
          <w:sz w:val="26"/>
          <w:szCs w:val="26"/>
        </w:rPr>
        <w:t>ДБУиО</w:t>
      </w:r>
      <w:proofErr w:type="spellEnd"/>
    </w:p>
    <w:p w:rsidR="00910F22" w:rsidRPr="00910F22" w:rsidRDefault="00910F22" w:rsidP="00910F22">
      <w:pPr>
        <w:tabs>
          <w:tab w:val="left" w:pos="851"/>
          <w:tab w:val="left" w:pos="993"/>
        </w:tabs>
        <w:spacing w:after="0"/>
        <w:ind w:left="0" w:firstLine="567"/>
        <w:rPr>
          <w:rFonts w:cs="Times New Roman"/>
          <w:sz w:val="26"/>
          <w:szCs w:val="26"/>
        </w:rPr>
      </w:pPr>
      <w:r w:rsidRPr="00910F22">
        <w:rPr>
          <w:rFonts w:cs="Times New Roman"/>
          <w:sz w:val="26"/>
          <w:szCs w:val="26"/>
        </w:rPr>
        <w:t>Предложение о внесении изменений в пункт 2.1 части III Положения № 385-П, касающихся порядка выдачи клиентам выписок из лицевых счетов, будет рассмотрено при подготовке очередных изменений в Положение № 385-П.</w:t>
      </w:r>
    </w:p>
    <w:p w:rsidR="00910F22" w:rsidRPr="00F70CAB" w:rsidRDefault="00910F22" w:rsidP="00DF7DB9">
      <w:pPr>
        <w:tabs>
          <w:tab w:val="left" w:pos="851"/>
        </w:tabs>
        <w:spacing w:after="0"/>
        <w:ind w:left="567" w:firstLine="0"/>
        <w:rPr>
          <w:rFonts w:cs="Times New Roman"/>
          <w:sz w:val="26"/>
          <w:szCs w:val="26"/>
        </w:rPr>
      </w:pPr>
    </w:p>
    <w:p w:rsidR="009E4C6B" w:rsidRDefault="009E4C6B" w:rsidP="00F70CAB">
      <w:pPr>
        <w:numPr>
          <w:ilvl w:val="0"/>
          <w:numId w:val="12"/>
        </w:numPr>
        <w:tabs>
          <w:tab w:val="left" w:pos="851"/>
        </w:tabs>
        <w:spacing w:after="0"/>
        <w:ind w:firstLine="567"/>
        <w:rPr>
          <w:rFonts w:cs="Times New Roman"/>
          <w:sz w:val="26"/>
          <w:szCs w:val="26"/>
        </w:rPr>
      </w:pPr>
      <w:r w:rsidRPr="00F70CAB">
        <w:rPr>
          <w:rFonts w:cs="Times New Roman"/>
          <w:sz w:val="26"/>
          <w:szCs w:val="26"/>
        </w:rPr>
        <w:t>Одна из причин ухудшения финансового положения кредитной организации  - использование денежных сре</w:t>
      </w:r>
      <w:proofErr w:type="gramStart"/>
      <w:r w:rsidRPr="00F70CAB">
        <w:rPr>
          <w:rFonts w:cs="Times New Roman"/>
          <w:sz w:val="26"/>
          <w:szCs w:val="26"/>
        </w:rPr>
        <w:t>дств кл</w:t>
      </w:r>
      <w:proofErr w:type="gramEnd"/>
      <w:r w:rsidRPr="00F70CAB">
        <w:rPr>
          <w:rFonts w:cs="Times New Roman"/>
          <w:sz w:val="26"/>
          <w:szCs w:val="26"/>
        </w:rPr>
        <w:t xml:space="preserve">иентов на внутренние расходы банка. В целях прозрачного и достоверного учета внедряются международные стандарты, новые счета и т.д. Предлагаем рассмотреть возможность введения отдельных счетов для учета использования собственных источников в целях раннего реагирования  и предотвращения указанной проблемы. </w:t>
      </w:r>
    </w:p>
    <w:p w:rsidR="002E3B05" w:rsidRPr="002E3B05" w:rsidRDefault="002E3B05" w:rsidP="002E3B05">
      <w:pPr>
        <w:pStyle w:val="a3"/>
        <w:tabs>
          <w:tab w:val="left" w:pos="851"/>
        </w:tabs>
        <w:spacing w:after="0"/>
        <w:ind w:left="709" w:firstLine="0"/>
        <w:rPr>
          <w:rFonts w:cs="Times New Roman"/>
          <w:b/>
          <w:sz w:val="26"/>
          <w:szCs w:val="26"/>
        </w:rPr>
      </w:pPr>
      <w:r w:rsidRPr="002E3B05">
        <w:rPr>
          <w:rFonts w:cs="Times New Roman"/>
          <w:b/>
          <w:sz w:val="26"/>
          <w:szCs w:val="26"/>
        </w:rPr>
        <w:t xml:space="preserve">Ответ </w:t>
      </w:r>
      <w:proofErr w:type="spellStart"/>
      <w:r w:rsidRPr="002E3B05">
        <w:rPr>
          <w:rFonts w:cs="Times New Roman"/>
          <w:b/>
          <w:sz w:val="26"/>
          <w:szCs w:val="26"/>
        </w:rPr>
        <w:t>ДБУиО</w:t>
      </w:r>
      <w:proofErr w:type="spellEnd"/>
    </w:p>
    <w:p w:rsidR="002E3B05" w:rsidRDefault="002E3B05" w:rsidP="002E3B05">
      <w:pPr>
        <w:tabs>
          <w:tab w:val="left" w:pos="851"/>
          <w:tab w:val="left" w:pos="993"/>
        </w:tabs>
        <w:spacing w:after="0"/>
        <w:ind w:left="0" w:firstLine="567"/>
        <w:rPr>
          <w:rFonts w:cs="Times New Roman"/>
          <w:sz w:val="26"/>
          <w:szCs w:val="26"/>
        </w:rPr>
      </w:pPr>
      <w:r w:rsidRPr="002E3B05">
        <w:rPr>
          <w:rFonts w:cs="Times New Roman"/>
          <w:sz w:val="26"/>
          <w:szCs w:val="26"/>
        </w:rPr>
        <w:t>Предложение 3 направлено для сведения в Департамент надзора за системно значимыми кредитными организациями Банка России и Департамент банковского надзора Банка России в связи с тем, что Департамент бухгалтерского учета и отчетности Банка России не считает возможным комментировать ситуацию использования кредитной организацией денежных средств клиентов на собственные внутренние расходы.</w:t>
      </w:r>
    </w:p>
    <w:p w:rsidR="002E3B05" w:rsidRPr="00F70CAB" w:rsidRDefault="002E3B05" w:rsidP="00DF7DB9">
      <w:pPr>
        <w:tabs>
          <w:tab w:val="left" w:pos="851"/>
        </w:tabs>
        <w:spacing w:after="0"/>
        <w:ind w:left="567" w:firstLine="0"/>
        <w:rPr>
          <w:rFonts w:cs="Times New Roman"/>
          <w:sz w:val="26"/>
          <w:szCs w:val="26"/>
        </w:rPr>
      </w:pPr>
    </w:p>
    <w:p w:rsidR="009E4C6B" w:rsidRPr="00F70CAB" w:rsidRDefault="009E4C6B" w:rsidP="00F70CAB">
      <w:pPr>
        <w:numPr>
          <w:ilvl w:val="0"/>
          <w:numId w:val="12"/>
        </w:numPr>
        <w:tabs>
          <w:tab w:val="left" w:pos="851"/>
        </w:tabs>
        <w:spacing w:after="0"/>
        <w:ind w:firstLine="567"/>
        <w:rPr>
          <w:rFonts w:cs="Times New Roman"/>
          <w:sz w:val="26"/>
          <w:szCs w:val="26"/>
        </w:rPr>
      </w:pPr>
      <w:r w:rsidRPr="00F70CAB">
        <w:rPr>
          <w:rFonts w:cs="Times New Roman"/>
          <w:sz w:val="26"/>
          <w:szCs w:val="26"/>
        </w:rPr>
        <w:t xml:space="preserve">Кредитные организации просят отменить распространение действия Положения 372-П на договоры, не являющиеся производными финансовыми инструментами по стандартам МСФО. </w:t>
      </w:r>
      <w:proofErr w:type="gramStart"/>
      <w:r w:rsidRPr="00F70CAB">
        <w:rPr>
          <w:rFonts w:cs="Times New Roman"/>
          <w:sz w:val="26"/>
          <w:szCs w:val="26"/>
        </w:rPr>
        <w:t>По мнению банков, вступление в силу указанного положения привело в недостоверному учету сделок купли-продажи с расчетами т+3 и более, искажающему экономическую сущность сделок, к последующему повышению издержек банков на покупку дополнительных модулей к автоматизированным банковским системам для учета операций, которые все предыдущие годы велись на рынке именно как сделки купли-продажи и их экономическая сущность не изменилась.</w:t>
      </w:r>
      <w:proofErr w:type="gramEnd"/>
      <w:r w:rsidRPr="00F70CAB">
        <w:rPr>
          <w:rFonts w:cs="Times New Roman"/>
          <w:sz w:val="26"/>
          <w:szCs w:val="26"/>
        </w:rPr>
        <w:t xml:space="preserve"> Кредитные организации отмечают, что один из основополагающих принципов бухгалтерского учета, изложенных Банком России в Правилах ведения бухгалтерского учета для кредитных организаций – это п. 1.12.8. Приоритет содержания над формой. Операции отражаются в соответствии с их экономической сущностью, а не с их юридической формой. Однако в случае сделок купли-продажи с расчетами</w:t>
      </w:r>
      <w:proofErr w:type="gramStart"/>
      <w:r w:rsidRPr="00F70CAB">
        <w:rPr>
          <w:rFonts w:cs="Times New Roman"/>
          <w:sz w:val="26"/>
          <w:szCs w:val="26"/>
        </w:rPr>
        <w:t xml:space="preserve"> Т</w:t>
      </w:r>
      <w:proofErr w:type="gramEnd"/>
      <w:r w:rsidRPr="00F70CAB">
        <w:rPr>
          <w:rFonts w:cs="Times New Roman"/>
          <w:sz w:val="26"/>
          <w:szCs w:val="26"/>
        </w:rPr>
        <w:t>+ как ПФИ ни экономическая сущность, ни юридическая форма не соответствуют их бухгалтерскому учету.</w:t>
      </w:r>
    </w:p>
    <w:p w:rsidR="006F4841" w:rsidRPr="006F4841" w:rsidRDefault="006F4841" w:rsidP="006F4841">
      <w:pPr>
        <w:tabs>
          <w:tab w:val="left" w:pos="851"/>
        </w:tabs>
        <w:spacing w:after="0"/>
        <w:ind w:left="0" w:firstLine="567"/>
        <w:rPr>
          <w:rFonts w:cs="Times New Roman"/>
          <w:b/>
          <w:sz w:val="26"/>
          <w:szCs w:val="26"/>
        </w:rPr>
      </w:pPr>
      <w:r w:rsidRPr="006F4841">
        <w:rPr>
          <w:rFonts w:cs="Times New Roman"/>
          <w:b/>
          <w:sz w:val="26"/>
          <w:szCs w:val="26"/>
        </w:rPr>
        <w:t xml:space="preserve">Ответ </w:t>
      </w:r>
      <w:proofErr w:type="spellStart"/>
      <w:r w:rsidRPr="006F4841">
        <w:rPr>
          <w:rFonts w:cs="Times New Roman"/>
          <w:b/>
          <w:sz w:val="26"/>
          <w:szCs w:val="26"/>
        </w:rPr>
        <w:t>ДБУиО</w:t>
      </w:r>
      <w:proofErr w:type="spellEnd"/>
    </w:p>
    <w:p w:rsidR="006F4841" w:rsidRPr="006F4841" w:rsidRDefault="006F4841" w:rsidP="006F4841">
      <w:pPr>
        <w:tabs>
          <w:tab w:val="left" w:pos="851"/>
          <w:tab w:val="left" w:pos="993"/>
        </w:tabs>
        <w:spacing w:after="0"/>
        <w:ind w:left="0" w:firstLine="567"/>
        <w:rPr>
          <w:rFonts w:cs="Times New Roman"/>
          <w:sz w:val="26"/>
          <w:szCs w:val="26"/>
        </w:rPr>
      </w:pPr>
      <w:proofErr w:type="gramStart"/>
      <w:r w:rsidRPr="006F4841">
        <w:rPr>
          <w:rFonts w:cs="Times New Roman"/>
          <w:sz w:val="26"/>
          <w:szCs w:val="26"/>
        </w:rPr>
        <w:t xml:space="preserve">В целях применения Положения Банка России от 04.07.2011 № 372-П «О порядке бухгалтерского учета производных финансовых инструментов» (далее - Положение № 372-П) под производными финансовыми инструментами </w:t>
      </w:r>
      <w:r w:rsidRPr="006F4841">
        <w:rPr>
          <w:rFonts w:cs="Times New Roman"/>
          <w:sz w:val="26"/>
          <w:szCs w:val="26"/>
        </w:rPr>
        <w:lastRenderedPageBreak/>
        <w:t>понимаются договоры, определяемые таковыми в соответствии со статьей 2 Федерального закона от 22.04.1996 № 39-ФЗ «О рынке ценных бумаг», предусматривающей, в том числе, наличие в договоре указания на то, что он является производным финансовым инструментом.</w:t>
      </w:r>
      <w:proofErr w:type="gramEnd"/>
    </w:p>
    <w:p w:rsidR="006F4841" w:rsidRPr="006F4841" w:rsidRDefault="006F4841" w:rsidP="006F4841">
      <w:pPr>
        <w:tabs>
          <w:tab w:val="left" w:pos="851"/>
          <w:tab w:val="left" w:pos="993"/>
        </w:tabs>
        <w:spacing w:after="0"/>
        <w:ind w:left="0" w:firstLine="567"/>
        <w:rPr>
          <w:rFonts w:cs="Times New Roman"/>
          <w:sz w:val="26"/>
          <w:szCs w:val="26"/>
        </w:rPr>
      </w:pPr>
      <w:r w:rsidRPr="006F4841">
        <w:rPr>
          <w:rFonts w:cs="Times New Roman"/>
          <w:sz w:val="26"/>
          <w:szCs w:val="26"/>
        </w:rPr>
        <w:t>Изменения, внесенные Указанием Банка России от 06.11.2013 № 3106-У в Положение № 372-П, были направлены на соблюдение принципа приоритета содержания над формой и обеспечение отражения в бухгалтерском учете срочных сделок в качестве производных финансовых инструментов вне зависимости от наличия в договорах указания на то, что они являются производными финансовыми инструментами.</w:t>
      </w:r>
    </w:p>
    <w:p w:rsidR="006F4841" w:rsidRPr="006F4841" w:rsidRDefault="006F4841" w:rsidP="006F4841">
      <w:pPr>
        <w:tabs>
          <w:tab w:val="left" w:pos="851"/>
          <w:tab w:val="left" w:pos="993"/>
        </w:tabs>
        <w:spacing w:after="0"/>
        <w:ind w:left="0" w:firstLine="567"/>
        <w:rPr>
          <w:rFonts w:cs="Times New Roman"/>
          <w:sz w:val="26"/>
          <w:szCs w:val="26"/>
        </w:rPr>
      </w:pPr>
      <w:r w:rsidRPr="006F4841">
        <w:rPr>
          <w:rFonts w:cs="Times New Roman"/>
          <w:sz w:val="26"/>
          <w:szCs w:val="26"/>
        </w:rPr>
        <w:t>Данный подход позволил устранить проблемы спорной квалификации для целей бухгалтерского учета ряда внебиржевых сделок, а также биржевых инструментов, не содержащих вышеназванного указания, но по экономическому содержанию являющихся производными финансовыми инструментами.</w:t>
      </w:r>
    </w:p>
    <w:p w:rsidR="006F4841" w:rsidRPr="006F4841" w:rsidRDefault="006F4841" w:rsidP="006F4841">
      <w:pPr>
        <w:tabs>
          <w:tab w:val="left" w:pos="851"/>
          <w:tab w:val="left" w:pos="993"/>
        </w:tabs>
        <w:spacing w:after="0"/>
        <w:ind w:left="0" w:firstLine="567"/>
        <w:rPr>
          <w:rFonts w:cs="Times New Roman"/>
          <w:sz w:val="26"/>
          <w:szCs w:val="26"/>
        </w:rPr>
      </w:pPr>
      <w:r w:rsidRPr="006F4841">
        <w:rPr>
          <w:rFonts w:cs="Times New Roman"/>
          <w:sz w:val="26"/>
          <w:szCs w:val="26"/>
        </w:rPr>
        <w:t>Учитывая изложенное, внесение изменений в сферу действия Положения № 372-П не предполагается.</w:t>
      </w:r>
    </w:p>
    <w:p w:rsidR="003E1BF2" w:rsidRPr="00F70CAB" w:rsidRDefault="003E1BF2" w:rsidP="00F70CAB">
      <w:pPr>
        <w:tabs>
          <w:tab w:val="left" w:pos="851"/>
          <w:tab w:val="left" w:pos="993"/>
        </w:tabs>
        <w:spacing w:after="0"/>
        <w:ind w:left="0" w:firstLine="567"/>
        <w:rPr>
          <w:rFonts w:cs="Times New Roman"/>
          <w:sz w:val="26"/>
          <w:szCs w:val="26"/>
        </w:rPr>
      </w:pPr>
    </w:p>
    <w:sectPr w:rsidR="003E1BF2" w:rsidRPr="00F70CAB" w:rsidSect="00AF0F4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15D" w:rsidRDefault="001E615D" w:rsidP="000704E8">
      <w:pPr>
        <w:spacing w:after="0" w:line="240" w:lineRule="auto"/>
      </w:pPr>
      <w:r>
        <w:separator/>
      </w:r>
    </w:p>
  </w:endnote>
  <w:endnote w:type="continuationSeparator" w:id="0">
    <w:p w:rsidR="001E615D" w:rsidRDefault="001E615D" w:rsidP="0007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32817"/>
      <w:docPartObj>
        <w:docPartGallery w:val="Page Numbers (Bottom of Page)"/>
        <w:docPartUnique/>
      </w:docPartObj>
    </w:sdtPr>
    <w:sdtContent>
      <w:p w:rsidR="001E615D" w:rsidRDefault="00B60D75">
        <w:pPr>
          <w:pStyle w:val="ab"/>
          <w:jc w:val="center"/>
        </w:pPr>
        <w:fldSimple w:instr=" PAGE   \* MERGEFORMAT ">
          <w:r w:rsidR="00604360">
            <w:rPr>
              <w:noProof/>
            </w:rPr>
            <w:t>2</w:t>
          </w:r>
        </w:fldSimple>
      </w:p>
    </w:sdtContent>
  </w:sdt>
  <w:p w:rsidR="001E615D" w:rsidRDefault="001E615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15D" w:rsidRDefault="001E615D" w:rsidP="000704E8">
      <w:pPr>
        <w:spacing w:after="0" w:line="240" w:lineRule="auto"/>
      </w:pPr>
      <w:r>
        <w:separator/>
      </w:r>
    </w:p>
  </w:footnote>
  <w:footnote w:type="continuationSeparator" w:id="0">
    <w:p w:rsidR="001E615D" w:rsidRDefault="001E615D" w:rsidP="00070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7E77"/>
    <w:multiLevelType w:val="hybridMultilevel"/>
    <w:tmpl w:val="D53844B4"/>
    <w:lvl w:ilvl="0" w:tplc="64E402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C66FE8"/>
    <w:multiLevelType w:val="hybridMultilevel"/>
    <w:tmpl w:val="DED4F8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220937"/>
    <w:multiLevelType w:val="hybridMultilevel"/>
    <w:tmpl w:val="01DC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D754E"/>
    <w:multiLevelType w:val="hybridMultilevel"/>
    <w:tmpl w:val="2376AB4E"/>
    <w:lvl w:ilvl="0" w:tplc="64E4024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11D1CF8"/>
    <w:multiLevelType w:val="multilevel"/>
    <w:tmpl w:val="F08A8F0E"/>
    <w:lvl w:ilvl="0">
      <w:start w:val="1"/>
      <w:numFmt w:val="decimal"/>
      <w:lvlText w:val="%1."/>
      <w:lvlJc w:val="left"/>
      <w:pPr>
        <w:ind w:left="0" w:firstLine="113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52887702"/>
    <w:multiLevelType w:val="hybridMultilevel"/>
    <w:tmpl w:val="89B2F52E"/>
    <w:lvl w:ilvl="0" w:tplc="7D1E7D1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977BC7"/>
    <w:multiLevelType w:val="hybridMultilevel"/>
    <w:tmpl w:val="B0728F06"/>
    <w:lvl w:ilvl="0" w:tplc="64E4024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F9E001E"/>
    <w:multiLevelType w:val="hybridMultilevel"/>
    <w:tmpl w:val="739C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8486B"/>
    <w:multiLevelType w:val="multilevel"/>
    <w:tmpl w:val="327E54AA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6814265A"/>
    <w:multiLevelType w:val="hybridMultilevel"/>
    <w:tmpl w:val="7BAC0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B31CE"/>
    <w:multiLevelType w:val="hybridMultilevel"/>
    <w:tmpl w:val="F036C7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D465468"/>
    <w:multiLevelType w:val="hybridMultilevel"/>
    <w:tmpl w:val="F92821D2"/>
    <w:lvl w:ilvl="0" w:tplc="64E40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4E8"/>
    <w:rsid w:val="00053B82"/>
    <w:rsid w:val="00063691"/>
    <w:rsid w:val="000704E8"/>
    <w:rsid w:val="000945BF"/>
    <w:rsid w:val="0009521C"/>
    <w:rsid w:val="0009677C"/>
    <w:rsid w:val="000B0A91"/>
    <w:rsid w:val="000B40F7"/>
    <w:rsid w:val="000E4CB0"/>
    <w:rsid w:val="000F265E"/>
    <w:rsid w:val="00105054"/>
    <w:rsid w:val="001226EA"/>
    <w:rsid w:val="001945B7"/>
    <w:rsid w:val="00195C15"/>
    <w:rsid w:val="00197802"/>
    <w:rsid w:val="001E099E"/>
    <w:rsid w:val="001E615D"/>
    <w:rsid w:val="001E619F"/>
    <w:rsid w:val="001F5EE5"/>
    <w:rsid w:val="00205084"/>
    <w:rsid w:val="00207B03"/>
    <w:rsid w:val="00241091"/>
    <w:rsid w:val="00264EED"/>
    <w:rsid w:val="00272E39"/>
    <w:rsid w:val="00287F06"/>
    <w:rsid w:val="002B3F09"/>
    <w:rsid w:val="002B6043"/>
    <w:rsid w:val="002C3387"/>
    <w:rsid w:val="002E0D7C"/>
    <w:rsid w:val="002E3B05"/>
    <w:rsid w:val="002E7D99"/>
    <w:rsid w:val="002F3EBF"/>
    <w:rsid w:val="00335E61"/>
    <w:rsid w:val="0034044A"/>
    <w:rsid w:val="00386A0A"/>
    <w:rsid w:val="00390814"/>
    <w:rsid w:val="0039726B"/>
    <w:rsid w:val="003B407E"/>
    <w:rsid w:val="003D7B17"/>
    <w:rsid w:val="003E1BF2"/>
    <w:rsid w:val="003F02D8"/>
    <w:rsid w:val="003F7866"/>
    <w:rsid w:val="004218C1"/>
    <w:rsid w:val="00426B28"/>
    <w:rsid w:val="00430D44"/>
    <w:rsid w:val="00477335"/>
    <w:rsid w:val="004A0BAE"/>
    <w:rsid w:val="004B4F8B"/>
    <w:rsid w:val="004F6E7A"/>
    <w:rsid w:val="005313E4"/>
    <w:rsid w:val="005411C0"/>
    <w:rsid w:val="00542670"/>
    <w:rsid w:val="00561047"/>
    <w:rsid w:val="00587FF2"/>
    <w:rsid w:val="005A1021"/>
    <w:rsid w:val="005A6085"/>
    <w:rsid w:val="005A6299"/>
    <w:rsid w:val="005B542F"/>
    <w:rsid w:val="005C1512"/>
    <w:rsid w:val="005E0A26"/>
    <w:rsid w:val="0060039D"/>
    <w:rsid w:val="00604360"/>
    <w:rsid w:val="00606D5C"/>
    <w:rsid w:val="0061222C"/>
    <w:rsid w:val="00626633"/>
    <w:rsid w:val="00632E12"/>
    <w:rsid w:val="00642315"/>
    <w:rsid w:val="0065022D"/>
    <w:rsid w:val="006C6454"/>
    <w:rsid w:val="006D742D"/>
    <w:rsid w:val="006F4841"/>
    <w:rsid w:val="0072370B"/>
    <w:rsid w:val="00735F5D"/>
    <w:rsid w:val="00745AB4"/>
    <w:rsid w:val="007577A8"/>
    <w:rsid w:val="007A14A4"/>
    <w:rsid w:val="007A2052"/>
    <w:rsid w:val="007A7A16"/>
    <w:rsid w:val="007B0DB4"/>
    <w:rsid w:val="007E3678"/>
    <w:rsid w:val="0081243B"/>
    <w:rsid w:val="008360A8"/>
    <w:rsid w:val="00845AD8"/>
    <w:rsid w:val="008675F5"/>
    <w:rsid w:val="008C4B1F"/>
    <w:rsid w:val="008D0B9A"/>
    <w:rsid w:val="008E2E77"/>
    <w:rsid w:val="008E3597"/>
    <w:rsid w:val="008F6167"/>
    <w:rsid w:val="00910F22"/>
    <w:rsid w:val="0091189B"/>
    <w:rsid w:val="00913DDE"/>
    <w:rsid w:val="009243AC"/>
    <w:rsid w:val="0093317F"/>
    <w:rsid w:val="00936DA4"/>
    <w:rsid w:val="009413A3"/>
    <w:rsid w:val="0096300B"/>
    <w:rsid w:val="00985088"/>
    <w:rsid w:val="00992DAF"/>
    <w:rsid w:val="009A0C34"/>
    <w:rsid w:val="009A3F6D"/>
    <w:rsid w:val="009B67FC"/>
    <w:rsid w:val="009D63CC"/>
    <w:rsid w:val="009D7213"/>
    <w:rsid w:val="009E153C"/>
    <w:rsid w:val="009E4C6B"/>
    <w:rsid w:val="009F3B54"/>
    <w:rsid w:val="009F4C6E"/>
    <w:rsid w:val="00A011A2"/>
    <w:rsid w:val="00A206F8"/>
    <w:rsid w:val="00A427DC"/>
    <w:rsid w:val="00A65AE1"/>
    <w:rsid w:val="00A91999"/>
    <w:rsid w:val="00AD40C7"/>
    <w:rsid w:val="00AF0F40"/>
    <w:rsid w:val="00B055BC"/>
    <w:rsid w:val="00B25EE6"/>
    <w:rsid w:val="00B33087"/>
    <w:rsid w:val="00B60D75"/>
    <w:rsid w:val="00B709D3"/>
    <w:rsid w:val="00BD2903"/>
    <w:rsid w:val="00BF7E85"/>
    <w:rsid w:val="00C112CB"/>
    <w:rsid w:val="00C226E7"/>
    <w:rsid w:val="00C3487F"/>
    <w:rsid w:val="00C4272C"/>
    <w:rsid w:val="00C617B7"/>
    <w:rsid w:val="00C63F70"/>
    <w:rsid w:val="00C7422A"/>
    <w:rsid w:val="00C95926"/>
    <w:rsid w:val="00CB3C25"/>
    <w:rsid w:val="00CC1ED6"/>
    <w:rsid w:val="00CF4E5F"/>
    <w:rsid w:val="00CF761D"/>
    <w:rsid w:val="00D20310"/>
    <w:rsid w:val="00D31ABB"/>
    <w:rsid w:val="00DA2475"/>
    <w:rsid w:val="00DA2A22"/>
    <w:rsid w:val="00DB1711"/>
    <w:rsid w:val="00DF7DB9"/>
    <w:rsid w:val="00E14483"/>
    <w:rsid w:val="00E469E2"/>
    <w:rsid w:val="00E47AF2"/>
    <w:rsid w:val="00E70DD3"/>
    <w:rsid w:val="00E728C5"/>
    <w:rsid w:val="00E736E6"/>
    <w:rsid w:val="00E8235B"/>
    <w:rsid w:val="00E90BC1"/>
    <w:rsid w:val="00EB396D"/>
    <w:rsid w:val="00EC4551"/>
    <w:rsid w:val="00ED6530"/>
    <w:rsid w:val="00EE15DA"/>
    <w:rsid w:val="00EE780B"/>
    <w:rsid w:val="00F353FB"/>
    <w:rsid w:val="00F55336"/>
    <w:rsid w:val="00F70CAB"/>
    <w:rsid w:val="00FA4219"/>
    <w:rsid w:val="00FD2B88"/>
    <w:rsid w:val="00FF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4E8"/>
    <w:pPr>
      <w:ind w:left="720"/>
      <w:contextualSpacing/>
    </w:pPr>
  </w:style>
  <w:style w:type="paragraph" w:customStyle="1" w:styleId="ConsPlusNormal">
    <w:name w:val="ConsPlusNormal"/>
    <w:rsid w:val="000704E8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dbfmultilinelbl">
    <w:name w:val="dbf_multiline_lbl"/>
    <w:basedOn w:val="a0"/>
    <w:rsid w:val="000704E8"/>
  </w:style>
  <w:style w:type="paragraph" w:styleId="a4">
    <w:name w:val="footnote text"/>
    <w:basedOn w:val="a"/>
    <w:link w:val="a5"/>
    <w:uiPriority w:val="99"/>
    <w:semiHidden/>
    <w:unhideWhenUsed/>
    <w:rsid w:val="000704E8"/>
    <w:pPr>
      <w:spacing w:after="0" w:line="240" w:lineRule="auto"/>
      <w:ind w:left="0" w:firstLine="0"/>
      <w:jc w:val="left"/>
    </w:pPr>
    <w:rPr>
      <w:rFonts w:asciiTheme="minorHAnsi" w:hAnsiTheme="minorHAns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04E8"/>
    <w:rPr>
      <w:rFonts w:asciiTheme="minorHAnsi" w:hAnsiTheme="minorHAns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704E8"/>
    <w:rPr>
      <w:vertAlign w:val="superscript"/>
    </w:rPr>
  </w:style>
  <w:style w:type="character" w:styleId="a7">
    <w:name w:val="Hyperlink"/>
    <w:basedOn w:val="a0"/>
    <w:uiPriority w:val="99"/>
    <w:unhideWhenUsed/>
    <w:rsid w:val="00EB396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B396D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0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05054"/>
  </w:style>
  <w:style w:type="paragraph" w:styleId="ab">
    <w:name w:val="footer"/>
    <w:basedOn w:val="a"/>
    <w:link w:val="ac"/>
    <w:uiPriority w:val="99"/>
    <w:unhideWhenUsed/>
    <w:rsid w:val="0010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5054"/>
  </w:style>
  <w:style w:type="paragraph" w:styleId="ad">
    <w:name w:val="Balloon Text"/>
    <w:basedOn w:val="a"/>
    <w:link w:val="ae"/>
    <w:uiPriority w:val="99"/>
    <w:semiHidden/>
    <w:unhideWhenUsed/>
    <w:rsid w:val="0061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2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4E8"/>
    <w:pPr>
      <w:ind w:left="720"/>
      <w:contextualSpacing/>
    </w:pPr>
  </w:style>
  <w:style w:type="paragraph" w:customStyle="1" w:styleId="ConsPlusNormal">
    <w:name w:val="ConsPlusNormal"/>
    <w:rsid w:val="000704E8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dbfmultilinelbl">
    <w:name w:val="dbf_multiline_lbl"/>
    <w:basedOn w:val="a0"/>
    <w:rsid w:val="000704E8"/>
  </w:style>
  <w:style w:type="paragraph" w:styleId="a4">
    <w:name w:val="footnote text"/>
    <w:basedOn w:val="a"/>
    <w:link w:val="a5"/>
    <w:uiPriority w:val="99"/>
    <w:semiHidden/>
    <w:unhideWhenUsed/>
    <w:rsid w:val="000704E8"/>
    <w:pPr>
      <w:spacing w:after="0" w:line="240" w:lineRule="auto"/>
      <w:ind w:left="0" w:firstLine="0"/>
      <w:jc w:val="left"/>
    </w:pPr>
    <w:rPr>
      <w:rFonts w:asciiTheme="minorHAnsi" w:hAnsiTheme="minorHAns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04E8"/>
    <w:rPr>
      <w:rFonts w:asciiTheme="minorHAnsi" w:hAnsiTheme="minorHAns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704E8"/>
    <w:rPr>
      <w:vertAlign w:val="superscript"/>
    </w:rPr>
  </w:style>
  <w:style w:type="character" w:styleId="a7">
    <w:name w:val="Hyperlink"/>
    <w:basedOn w:val="a0"/>
    <w:uiPriority w:val="99"/>
    <w:unhideWhenUsed/>
    <w:rsid w:val="00EB396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B396D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0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05054"/>
  </w:style>
  <w:style w:type="paragraph" w:styleId="ab">
    <w:name w:val="footer"/>
    <w:basedOn w:val="a"/>
    <w:link w:val="ac"/>
    <w:uiPriority w:val="99"/>
    <w:unhideWhenUsed/>
    <w:rsid w:val="0010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5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3863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23</cp:revision>
  <dcterms:created xsi:type="dcterms:W3CDTF">2016-02-17T09:12:00Z</dcterms:created>
  <dcterms:modified xsi:type="dcterms:W3CDTF">2016-03-04T09:24:00Z</dcterms:modified>
</cp:coreProperties>
</file>