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FC" w:rsidRDefault="002844FC" w:rsidP="002844FC">
      <w:pPr>
        <w:spacing w:line="360" w:lineRule="auto"/>
        <w:ind w:firstLine="567"/>
        <w:jc w:val="right"/>
        <w:rPr>
          <w:b/>
          <w:sz w:val="26"/>
          <w:szCs w:val="26"/>
        </w:rPr>
      </w:pPr>
    </w:p>
    <w:p w:rsidR="002844FC" w:rsidRDefault="002844FC" w:rsidP="002844FC">
      <w:pPr>
        <w:spacing w:line="360" w:lineRule="auto"/>
        <w:ind w:firstLine="567"/>
        <w:jc w:val="right"/>
        <w:rPr>
          <w:b/>
          <w:sz w:val="26"/>
          <w:szCs w:val="26"/>
        </w:rPr>
      </w:pPr>
    </w:p>
    <w:p w:rsidR="002844FC" w:rsidRDefault="002844FC" w:rsidP="002844FC">
      <w:pPr>
        <w:spacing w:line="360" w:lineRule="auto"/>
        <w:ind w:firstLine="567"/>
        <w:jc w:val="right"/>
        <w:rPr>
          <w:b/>
          <w:sz w:val="26"/>
          <w:szCs w:val="26"/>
        </w:rPr>
      </w:pPr>
    </w:p>
    <w:p w:rsidR="002844FC" w:rsidRDefault="002844FC" w:rsidP="002844FC">
      <w:pPr>
        <w:spacing w:line="360" w:lineRule="auto"/>
        <w:ind w:firstLine="567"/>
        <w:jc w:val="right"/>
        <w:rPr>
          <w:b/>
          <w:sz w:val="26"/>
          <w:szCs w:val="26"/>
        </w:rPr>
      </w:pPr>
    </w:p>
    <w:p w:rsidR="002844FC" w:rsidRDefault="002844FC" w:rsidP="002844FC">
      <w:pPr>
        <w:spacing w:line="360" w:lineRule="auto"/>
        <w:ind w:firstLine="567"/>
        <w:jc w:val="right"/>
        <w:rPr>
          <w:b/>
          <w:sz w:val="26"/>
          <w:szCs w:val="26"/>
        </w:rPr>
      </w:pPr>
    </w:p>
    <w:p w:rsidR="002844FC" w:rsidRDefault="002844FC" w:rsidP="002844FC">
      <w:pPr>
        <w:spacing w:line="360" w:lineRule="auto"/>
        <w:ind w:firstLine="567"/>
        <w:jc w:val="right"/>
        <w:rPr>
          <w:b/>
          <w:sz w:val="26"/>
          <w:szCs w:val="26"/>
        </w:rPr>
      </w:pPr>
    </w:p>
    <w:p w:rsidR="002844FC" w:rsidRPr="001F18A9" w:rsidRDefault="002844FC" w:rsidP="002844FC">
      <w:pPr>
        <w:spacing w:line="360" w:lineRule="auto"/>
        <w:ind w:firstLine="567"/>
        <w:jc w:val="right"/>
        <w:rPr>
          <w:b/>
          <w:sz w:val="26"/>
          <w:szCs w:val="26"/>
        </w:rPr>
      </w:pPr>
      <w:r w:rsidRPr="001F18A9">
        <w:rPr>
          <w:b/>
          <w:sz w:val="26"/>
          <w:szCs w:val="26"/>
        </w:rPr>
        <w:t>Председателю Банка Росси</w:t>
      </w:r>
      <w:r>
        <w:rPr>
          <w:b/>
          <w:sz w:val="26"/>
          <w:szCs w:val="26"/>
        </w:rPr>
        <w:t>и</w:t>
      </w:r>
    </w:p>
    <w:p w:rsidR="002844FC" w:rsidRPr="001F18A9" w:rsidRDefault="002844FC" w:rsidP="002844FC">
      <w:pPr>
        <w:spacing w:line="360" w:lineRule="auto"/>
        <w:ind w:firstLine="567"/>
        <w:jc w:val="right"/>
        <w:rPr>
          <w:b/>
          <w:sz w:val="26"/>
          <w:szCs w:val="26"/>
        </w:rPr>
      </w:pPr>
    </w:p>
    <w:p w:rsidR="002844FC" w:rsidRPr="001F18A9" w:rsidRDefault="002844FC" w:rsidP="002844FC">
      <w:pPr>
        <w:spacing w:line="360" w:lineRule="auto"/>
        <w:ind w:firstLine="567"/>
        <w:jc w:val="right"/>
        <w:rPr>
          <w:b/>
          <w:bCs/>
          <w:sz w:val="26"/>
          <w:szCs w:val="26"/>
        </w:rPr>
      </w:pPr>
      <w:r w:rsidRPr="001F18A9">
        <w:rPr>
          <w:b/>
          <w:bCs/>
          <w:sz w:val="26"/>
          <w:szCs w:val="26"/>
        </w:rPr>
        <w:t>НАБИУЛЛИНОЙ Э.С.</w:t>
      </w:r>
    </w:p>
    <w:p w:rsidR="002844FC" w:rsidRPr="001F18A9" w:rsidRDefault="002844FC" w:rsidP="002844FC">
      <w:pPr>
        <w:spacing w:line="360" w:lineRule="auto"/>
        <w:ind w:firstLine="567"/>
        <w:jc w:val="center"/>
        <w:rPr>
          <w:b/>
          <w:sz w:val="26"/>
          <w:szCs w:val="26"/>
        </w:rPr>
      </w:pPr>
    </w:p>
    <w:p w:rsidR="002844FC" w:rsidRDefault="002844FC" w:rsidP="002844FC">
      <w:pPr>
        <w:spacing w:line="360" w:lineRule="auto"/>
        <w:jc w:val="center"/>
        <w:rPr>
          <w:b/>
          <w:sz w:val="26"/>
          <w:szCs w:val="26"/>
        </w:rPr>
      </w:pPr>
      <w:r w:rsidRPr="001F18A9">
        <w:rPr>
          <w:b/>
          <w:sz w:val="26"/>
          <w:szCs w:val="26"/>
        </w:rPr>
        <w:t xml:space="preserve">Уважаемая Эльвира </w:t>
      </w:r>
      <w:proofErr w:type="spellStart"/>
      <w:r w:rsidRPr="001F18A9">
        <w:rPr>
          <w:b/>
          <w:sz w:val="26"/>
          <w:szCs w:val="26"/>
        </w:rPr>
        <w:t>Сахипзадовна</w:t>
      </w:r>
      <w:proofErr w:type="spellEnd"/>
      <w:r w:rsidRPr="001F18A9">
        <w:rPr>
          <w:b/>
          <w:sz w:val="26"/>
          <w:szCs w:val="26"/>
        </w:rPr>
        <w:t>!</w:t>
      </w:r>
    </w:p>
    <w:p w:rsidR="00966A64" w:rsidRDefault="00966A64" w:rsidP="00966A64">
      <w:pPr>
        <w:tabs>
          <w:tab w:val="left" w:pos="709"/>
          <w:tab w:val="left" w:pos="993"/>
          <w:tab w:val="left" w:pos="1560"/>
        </w:tabs>
        <w:ind w:firstLine="567"/>
        <w:jc w:val="both"/>
        <w:rPr>
          <w:sz w:val="26"/>
          <w:szCs w:val="26"/>
        </w:rPr>
      </w:pPr>
      <w:r w:rsidRPr="0090609C">
        <w:rPr>
          <w:sz w:val="26"/>
          <w:szCs w:val="26"/>
        </w:rPr>
        <w:t xml:space="preserve">Эксперты Ассоциации «Россия» проанализировали представленный Центральным банком РФ в Государственную Думу РФ Годовой отчет Банка России за 2013г. Годовой отчет Банка России </w:t>
      </w:r>
      <w:r>
        <w:rPr>
          <w:sz w:val="26"/>
          <w:szCs w:val="26"/>
        </w:rPr>
        <w:t xml:space="preserve">(далее - Отчет) </w:t>
      </w:r>
      <w:r w:rsidRPr="0090609C">
        <w:rPr>
          <w:sz w:val="26"/>
          <w:szCs w:val="26"/>
        </w:rPr>
        <w:t xml:space="preserve">представлен в стандартной для большинства центральных банков форме: в нем преобладает описательный подход к изложению основных направлений его деятельности. Элементы содержательного анализа присутствуют только в первой части </w:t>
      </w:r>
      <w:r>
        <w:rPr>
          <w:sz w:val="26"/>
          <w:szCs w:val="26"/>
        </w:rPr>
        <w:t>О</w:t>
      </w:r>
      <w:r w:rsidRPr="0090609C">
        <w:rPr>
          <w:sz w:val="26"/>
          <w:szCs w:val="26"/>
        </w:rPr>
        <w:t>тчета, где рассматривается экономическое и финансовое положения России. Отчет выполнен на высоком уровне, но при этом не лишен некоторых недостатков.</w:t>
      </w:r>
    </w:p>
    <w:p w:rsidR="00966A64" w:rsidRPr="0090609C" w:rsidRDefault="00966A64" w:rsidP="00966A64">
      <w:pPr>
        <w:tabs>
          <w:tab w:val="left" w:pos="709"/>
          <w:tab w:val="left" w:pos="993"/>
          <w:tab w:val="left" w:pos="1560"/>
        </w:tabs>
        <w:ind w:firstLine="567"/>
        <w:jc w:val="both"/>
        <w:rPr>
          <w:sz w:val="26"/>
          <w:szCs w:val="26"/>
        </w:rPr>
      </w:pPr>
    </w:p>
    <w:p w:rsidR="00966A64" w:rsidRPr="0090609C" w:rsidRDefault="00966A64" w:rsidP="00966A64">
      <w:pPr>
        <w:pStyle w:val="a4"/>
        <w:numPr>
          <w:ilvl w:val="0"/>
          <w:numId w:val="2"/>
        </w:numPr>
        <w:tabs>
          <w:tab w:val="clear" w:pos="720"/>
          <w:tab w:val="clear" w:pos="4320"/>
          <w:tab w:val="left" w:pos="709"/>
          <w:tab w:val="left" w:pos="993"/>
        </w:tabs>
        <w:spacing w:line="276" w:lineRule="auto"/>
        <w:ind w:left="0" w:firstLine="567"/>
        <w:rPr>
          <w:sz w:val="26"/>
          <w:szCs w:val="26"/>
        </w:rPr>
      </w:pPr>
      <w:proofErr w:type="gramStart"/>
      <w:r w:rsidRPr="0090609C">
        <w:rPr>
          <w:sz w:val="26"/>
          <w:szCs w:val="26"/>
        </w:rPr>
        <w:t xml:space="preserve">После ознакомления с разделом, посвящённым денежно-кредитной политике, остается неясным, следовал ли Банк России решению задачи перехода к полноценному инфляционному </w:t>
      </w:r>
      <w:proofErr w:type="spellStart"/>
      <w:r w:rsidRPr="0090609C">
        <w:rPr>
          <w:sz w:val="26"/>
          <w:szCs w:val="26"/>
        </w:rPr>
        <w:t>таргетированию</w:t>
      </w:r>
      <w:proofErr w:type="spellEnd"/>
      <w:r w:rsidRPr="0090609C">
        <w:rPr>
          <w:sz w:val="26"/>
          <w:szCs w:val="26"/>
        </w:rPr>
        <w:t xml:space="preserve"> или же делал акцент на смягчении структурного дефицита ликвидности путем расширения объемов рефинансирования кредитных организаций.</w:t>
      </w:r>
      <w:proofErr w:type="gramEnd"/>
      <w:r w:rsidRPr="0090609C">
        <w:rPr>
          <w:sz w:val="26"/>
          <w:szCs w:val="26"/>
        </w:rPr>
        <w:t xml:space="preserve">  </w:t>
      </w:r>
      <w:proofErr w:type="gramStart"/>
      <w:r w:rsidRPr="0090609C">
        <w:rPr>
          <w:sz w:val="26"/>
          <w:szCs w:val="26"/>
        </w:rPr>
        <w:t>На</w:t>
      </w:r>
      <w:proofErr w:type="gramEnd"/>
      <w:r w:rsidRPr="0090609C">
        <w:rPr>
          <w:sz w:val="26"/>
          <w:szCs w:val="26"/>
        </w:rPr>
        <w:t xml:space="preserve"> с.55 </w:t>
      </w:r>
      <w:proofErr w:type="gramStart"/>
      <w:r w:rsidRPr="0090609C">
        <w:rPr>
          <w:sz w:val="26"/>
          <w:szCs w:val="26"/>
        </w:rPr>
        <w:t>Отчета</w:t>
      </w:r>
      <w:proofErr w:type="gramEnd"/>
      <w:r w:rsidRPr="0090609C">
        <w:rPr>
          <w:sz w:val="26"/>
          <w:szCs w:val="26"/>
        </w:rPr>
        <w:t xml:space="preserve"> говорится о том, что основной целью денежно-кредитной политики Банка России </w:t>
      </w:r>
      <w:r>
        <w:rPr>
          <w:sz w:val="26"/>
          <w:szCs w:val="26"/>
        </w:rPr>
        <w:t>является</w:t>
      </w:r>
      <w:r w:rsidRPr="0090609C">
        <w:rPr>
          <w:sz w:val="26"/>
          <w:szCs w:val="26"/>
        </w:rPr>
        <w:t xml:space="preserve"> обеспечение ценовой стабильности, а на с. 62 констатируется, что ключевым элементом реализации денежно-кредитной политики Банка России является проведение операций по регулированию ликвидности банковского сектора.</w:t>
      </w:r>
    </w:p>
    <w:p w:rsidR="00966A64" w:rsidRDefault="00966A64" w:rsidP="00966A64">
      <w:pPr>
        <w:pStyle w:val="a4"/>
        <w:tabs>
          <w:tab w:val="clear" w:pos="720"/>
          <w:tab w:val="left" w:pos="0"/>
          <w:tab w:val="left" w:pos="709"/>
          <w:tab w:val="left" w:pos="993"/>
        </w:tabs>
        <w:spacing w:line="276" w:lineRule="auto"/>
        <w:ind w:firstLine="567"/>
        <w:rPr>
          <w:sz w:val="26"/>
          <w:szCs w:val="26"/>
        </w:rPr>
      </w:pPr>
      <w:r w:rsidRPr="0090609C">
        <w:rPr>
          <w:sz w:val="26"/>
          <w:szCs w:val="26"/>
        </w:rPr>
        <w:t>Таким образом, в денежно-кредитной политике Банка России переплета</w:t>
      </w:r>
      <w:r>
        <w:rPr>
          <w:sz w:val="26"/>
          <w:szCs w:val="26"/>
        </w:rPr>
        <w:t>ются</w:t>
      </w:r>
      <w:r w:rsidRPr="0090609C">
        <w:rPr>
          <w:sz w:val="26"/>
          <w:szCs w:val="26"/>
        </w:rPr>
        <w:t xml:space="preserve"> элементы инфляционного </w:t>
      </w:r>
      <w:proofErr w:type="spellStart"/>
      <w:r w:rsidRPr="0090609C">
        <w:rPr>
          <w:sz w:val="26"/>
          <w:szCs w:val="26"/>
        </w:rPr>
        <w:t>таргетирования</w:t>
      </w:r>
      <w:proofErr w:type="spellEnd"/>
      <w:r w:rsidRPr="0090609C">
        <w:rPr>
          <w:sz w:val="26"/>
          <w:szCs w:val="26"/>
        </w:rPr>
        <w:t xml:space="preserve"> и количественного смягчения. Возможно, что проведение по факту адаптивной денежно-кредитной политики объясняется состоянием российской экономики и банковского сектора, но такого рода объяснения в тексте </w:t>
      </w:r>
      <w:r>
        <w:rPr>
          <w:sz w:val="26"/>
          <w:szCs w:val="26"/>
        </w:rPr>
        <w:t>О</w:t>
      </w:r>
      <w:r w:rsidRPr="0090609C">
        <w:rPr>
          <w:sz w:val="26"/>
          <w:szCs w:val="26"/>
        </w:rPr>
        <w:t>тчета отсутствуют.</w:t>
      </w:r>
    </w:p>
    <w:p w:rsidR="00966A64" w:rsidRPr="0090609C" w:rsidRDefault="00966A64" w:rsidP="00966A64">
      <w:pPr>
        <w:pStyle w:val="a4"/>
        <w:tabs>
          <w:tab w:val="clear" w:pos="720"/>
          <w:tab w:val="left" w:pos="0"/>
          <w:tab w:val="left" w:pos="709"/>
          <w:tab w:val="left" w:pos="993"/>
        </w:tabs>
        <w:spacing w:line="276" w:lineRule="auto"/>
        <w:ind w:firstLine="567"/>
        <w:rPr>
          <w:sz w:val="26"/>
          <w:szCs w:val="26"/>
        </w:rPr>
      </w:pPr>
    </w:p>
    <w:p w:rsidR="00966A64" w:rsidRDefault="00966A64" w:rsidP="00966A64">
      <w:pPr>
        <w:pStyle w:val="a4"/>
        <w:numPr>
          <w:ilvl w:val="0"/>
          <w:numId w:val="2"/>
        </w:numPr>
        <w:tabs>
          <w:tab w:val="clear" w:pos="720"/>
          <w:tab w:val="clear" w:pos="4320"/>
          <w:tab w:val="left" w:pos="0"/>
          <w:tab w:val="left" w:pos="709"/>
          <w:tab w:val="left" w:pos="993"/>
        </w:tabs>
        <w:spacing w:line="276" w:lineRule="auto"/>
        <w:ind w:left="0" w:firstLine="567"/>
        <w:rPr>
          <w:sz w:val="26"/>
          <w:szCs w:val="26"/>
        </w:rPr>
      </w:pPr>
      <w:r w:rsidRPr="0090609C">
        <w:rPr>
          <w:sz w:val="26"/>
          <w:szCs w:val="26"/>
        </w:rPr>
        <w:t>Нельзя в полной мер</w:t>
      </w:r>
      <w:r>
        <w:rPr>
          <w:sz w:val="26"/>
          <w:szCs w:val="26"/>
        </w:rPr>
        <w:t>е</w:t>
      </w:r>
      <w:r w:rsidRPr="0090609C">
        <w:rPr>
          <w:sz w:val="26"/>
          <w:szCs w:val="26"/>
        </w:rPr>
        <w:t xml:space="preserve"> признать удовлетворительными разъяснения, касающиеся политики обменного курса. В отчете указывается, что «в 2013 году Банк России продолжал увеличивать гибкость </w:t>
      </w:r>
      <w:proofErr w:type="spellStart"/>
      <w:r w:rsidRPr="0090609C">
        <w:rPr>
          <w:sz w:val="26"/>
          <w:szCs w:val="26"/>
        </w:rPr>
        <w:t>курсообразования</w:t>
      </w:r>
      <w:proofErr w:type="spellEnd"/>
      <w:r w:rsidRPr="0090609C">
        <w:rPr>
          <w:sz w:val="26"/>
          <w:szCs w:val="26"/>
        </w:rPr>
        <w:t xml:space="preserve"> национальной валюты в целях создания условий для повышения действенности процентной </w:t>
      </w:r>
      <w:r w:rsidRPr="0090609C">
        <w:rPr>
          <w:sz w:val="26"/>
          <w:szCs w:val="26"/>
        </w:rPr>
        <w:lastRenderedPageBreak/>
        <w:t xml:space="preserve">политики в связи с подготовкой к переходу к режиму </w:t>
      </w:r>
      <w:proofErr w:type="spellStart"/>
      <w:r w:rsidRPr="0090609C">
        <w:rPr>
          <w:sz w:val="26"/>
          <w:szCs w:val="26"/>
        </w:rPr>
        <w:t>таргетирования</w:t>
      </w:r>
      <w:proofErr w:type="spellEnd"/>
      <w:r w:rsidRPr="0090609C">
        <w:rPr>
          <w:sz w:val="26"/>
          <w:szCs w:val="26"/>
        </w:rPr>
        <w:t xml:space="preserve"> инфляции в 2015 году» (с.68). В то же время на с.63 отмечается, что «</w:t>
      </w:r>
      <w:proofErr w:type="gramStart"/>
      <w:r w:rsidRPr="0090609C">
        <w:rPr>
          <w:sz w:val="26"/>
          <w:szCs w:val="26"/>
        </w:rPr>
        <w:t>начиная с лета 2013 года усиление ожиданий сворачивания программы количественного смягчения ФРС США способствовало</w:t>
      </w:r>
      <w:proofErr w:type="gramEnd"/>
      <w:r w:rsidRPr="0090609C">
        <w:rPr>
          <w:sz w:val="26"/>
          <w:szCs w:val="26"/>
        </w:rPr>
        <w:t xml:space="preserve"> ослаблению валют стран с формирующимися рынками, в том числе и российского рубля»</w:t>
      </w:r>
      <w:r>
        <w:rPr>
          <w:sz w:val="26"/>
          <w:szCs w:val="26"/>
        </w:rPr>
        <w:t>.</w:t>
      </w:r>
      <w:r w:rsidRPr="0090609C">
        <w:rPr>
          <w:sz w:val="26"/>
          <w:szCs w:val="26"/>
        </w:rPr>
        <w:t xml:space="preserve">  Из этого вытекает, что повышение гибкости </w:t>
      </w:r>
      <w:proofErr w:type="spellStart"/>
      <w:r w:rsidRPr="0090609C">
        <w:rPr>
          <w:sz w:val="26"/>
          <w:szCs w:val="26"/>
        </w:rPr>
        <w:t>курсообразования</w:t>
      </w:r>
      <w:proofErr w:type="spellEnd"/>
      <w:r w:rsidRPr="0090609C">
        <w:rPr>
          <w:sz w:val="26"/>
          <w:szCs w:val="26"/>
        </w:rPr>
        <w:t xml:space="preserve"> рубля имело вынужденный характер и в значительной мере определялось не установками Банка России, а изменениями в денежной политике ФРС. Из этого </w:t>
      </w:r>
      <w:r>
        <w:rPr>
          <w:sz w:val="26"/>
          <w:szCs w:val="26"/>
        </w:rPr>
        <w:t>следует</w:t>
      </w:r>
      <w:r w:rsidRPr="0090609C">
        <w:rPr>
          <w:sz w:val="26"/>
          <w:szCs w:val="26"/>
        </w:rPr>
        <w:t>, что проводимый ЦБ РФ курс на ограничение целевых валютный интервенций, а затем и отказ от них в пресс-релизе от 14 января 2014 года был не вполне адекватным конкретно складывающейся на финансовых рынках ситуации</w:t>
      </w:r>
      <w:r>
        <w:rPr>
          <w:sz w:val="26"/>
          <w:szCs w:val="26"/>
        </w:rPr>
        <w:t xml:space="preserve">, что привело </w:t>
      </w:r>
      <w:proofErr w:type="gramStart"/>
      <w:r w:rsidRPr="0090609C">
        <w:rPr>
          <w:sz w:val="26"/>
          <w:szCs w:val="26"/>
        </w:rPr>
        <w:t>к</w:t>
      </w:r>
      <w:proofErr w:type="gramEnd"/>
      <w:r w:rsidRPr="0090609C">
        <w:rPr>
          <w:sz w:val="26"/>
          <w:szCs w:val="26"/>
        </w:rPr>
        <w:t xml:space="preserve"> неоправданно возросшей </w:t>
      </w:r>
      <w:proofErr w:type="spellStart"/>
      <w:r w:rsidRPr="0090609C">
        <w:rPr>
          <w:sz w:val="26"/>
          <w:szCs w:val="26"/>
        </w:rPr>
        <w:t>волатильности</w:t>
      </w:r>
      <w:proofErr w:type="spellEnd"/>
      <w:r w:rsidRPr="0090609C">
        <w:rPr>
          <w:sz w:val="26"/>
          <w:szCs w:val="26"/>
        </w:rPr>
        <w:t xml:space="preserve"> рубля в первые месяцы 2014 года.</w:t>
      </w:r>
    </w:p>
    <w:p w:rsidR="00966A64" w:rsidRPr="0090609C" w:rsidRDefault="00966A64" w:rsidP="00966A64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560"/>
        </w:tabs>
        <w:spacing w:before="24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</w:t>
      </w:r>
      <w:r w:rsidRPr="0090609C">
        <w:rPr>
          <w:rFonts w:ascii="Times New Roman" w:hAnsi="Times New Roman" w:cs="Times New Roman"/>
          <w:sz w:val="26"/>
          <w:szCs w:val="26"/>
        </w:rPr>
        <w:t>тчете отмечается, что в 2013 году наблюдалось увеличение валютных и пр</w:t>
      </w:r>
      <w:r>
        <w:rPr>
          <w:rFonts w:ascii="Times New Roman" w:hAnsi="Times New Roman" w:cs="Times New Roman"/>
          <w:sz w:val="26"/>
          <w:szCs w:val="26"/>
        </w:rPr>
        <w:t xml:space="preserve">оцентных рисков. В </w:t>
      </w:r>
      <w:r w:rsidRPr="0090609C">
        <w:rPr>
          <w:rFonts w:ascii="Times New Roman" w:hAnsi="Times New Roman" w:cs="Times New Roman"/>
          <w:sz w:val="26"/>
          <w:szCs w:val="26"/>
        </w:rPr>
        <w:t xml:space="preserve">отчете не отражается, какая работа была проведена Банком России в 2013 году с точки зрения регулирования этих рисков. Последовавшие события начала 2014 года показали, что при отсутствии механизма хеджирования хозяйствующие субъекты несут существенные потери из-за невозможности фактического регулирования валютных и процентных рисков. </w:t>
      </w:r>
    </w:p>
    <w:p w:rsidR="00966A64" w:rsidRDefault="00966A64" w:rsidP="00966A64">
      <w:pPr>
        <w:pStyle w:val="a4"/>
        <w:numPr>
          <w:ilvl w:val="0"/>
          <w:numId w:val="2"/>
        </w:numPr>
        <w:tabs>
          <w:tab w:val="clear" w:pos="720"/>
          <w:tab w:val="clear" w:pos="4320"/>
          <w:tab w:val="left" w:pos="0"/>
          <w:tab w:val="left" w:pos="709"/>
          <w:tab w:val="left" w:pos="993"/>
        </w:tabs>
        <w:spacing w:line="276" w:lineRule="auto"/>
        <w:ind w:left="0" w:firstLine="567"/>
        <w:rPr>
          <w:sz w:val="26"/>
          <w:szCs w:val="26"/>
        </w:rPr>
      </w:pPr>
      <w:r w:rsidRPr="0090609C">
        <w:rPr>
          <w:sz w:val="26"/>
          <w:szCs w:val="26"/>
        </w:rPr>
        <w:t xml:space="preserve">В Отчете не содержится упоминание о промежуточных результатах и ходе выполнения «Стратегии развития банковского сектора Российской Федерации на период до 2015 года», разработанной совместно Правительством и Банком России. </w:t>
      </w:r>
    </w:p>
    <w:p w:rsidR="00966A64" w:rsidRPr="0090609C" w:rsidRDefault="00966A64" w:rsidP="00966A64">
      <w:pPr>
        <w:pStyle w:val="a4"/>
        <w:tabs>
          <w:tab w:val="clear" w:pos="720"/>
          <w:tab w:val="clear" w:pos="4320"/>
          <w:tab w:val="left" w:pos="0"/>
          <w:tab w:val="left" w:pos="709"/>
          <w:tab w:val="left" w:pos="993"/>
        </w:tabs>
        <w:spacing w:line="276" w:lineRule="auto"/>
        <w:ind w:left="567" w:firstLine="0"/>
        <w:rPr>
          <w:sz w:val="26"/>
          <w:szCs w:val="26"/>
        </w:rPr>
      </w:pPr>
    </w:p>
    <w:p w:rsidR="00966A64" w:rsidRDefault="00966A64" w:rsidP="00966A64">
      <w:pPr>
        <w:pStyle w:val="a4"/>
        <w:numPr>
          <w:ilvl w:val="0"/>
          <w:numId w:val="2"/>
        </w:numPr>
        <w:tabs>
          <w:tab w:val="clear" w:pos="720"/>
          <w:tab w:val="clear" w:pos="4320"/>
          <w:tab w:val="left" w:pos="0"/>
          <w:tab w:val="left" w:pos="709"/>
          <w:tab w:val="left" w:pos="993"/>
        </w:tabs>
        <w:spacing w:line="276" w:lineRule="auto"/>
        <w:ind w:left="0" w:firstLine="567"/>
        <w:rPr>
          <w:sz w:val="26"/>
          <w:szCs w:val="26"/>
        </w:rPr>
      </w:pPr>
      <w:r w:rsidRPr="0090609C">
        <w:rPr>
          <w:sz w:val="26"/>
          <w:szCs w:val="26"/>
        </w:rPr>
        <w:t xml:space="preserve">В Отчете (с.7) провозглашена приверженность «идее информационной открытости», но не </w:t>
      </w:r>
      <w:proofErr w:type="gramStart"/>
      <w:r w:rsidRPr="0090609C">
        <w:rPr>
          <w:sz w:val="26"/>
          <w:szCs w:val="26"/>
        </w:rPr>
        <w:t>приводится</w:t>
      </w:r>
      <w:proofErr w:type="gramEnd"/>
      <w:r w:rsidRPr="0090609C">
        <w:rPr>
          <w:sz w:val="26"/>
          <w:szCs w:val="26"/>
        </w:rPr>
        <w:t xml:space="preserve"> ни одной цифры или графика, касающихся  доли  различных групп кредитных организаций, в частности банков с государственным участием, в объемах рефинансирования</w:t>
      </w:r>
      <w:r>
        <w:rPr>
          <w:sz w:val="26"/>
          <w:szCs w:val="26"/>
        </w:rPr>
        <w:t>.</w:t>
      </w:r>
      <w:r w:rsidRPr="0090609C">
        <w:rPr>
          <w:sz w:val="26"/>
          <w:szCs w:val="26"/>
        </w:rPr>
        <w:t xml:space="preserve"> </w:t>
      </w:r>
    </w:p>
    <w:p w:rsidR="00966A64" w:rsidRDefault="00966A64" w:rsidP="00966A64">
      <w:pPr>
        <w:pStyle w:val="a4"/>
        <w:tabs>
          <w:tab w:val="clear" w:pos="720"/>
          <w:tab w:val="clear" w:pos="4320"/>
          <w:tab w:val="left" w:pos="0"/>
          <w:tab w:val="left" w:pos="709"/>
          <w:tab w:val="left" w:pos="993"/>
        </w:tabs>
        <w:spacing w:line="276" w:lineRule="auto"/>
        <w:ind w:left="567" w:firstLine="0"/>
        <w:rPr>
          <w:sz w:val="26"/>
          <w:szCs w:val="26"/>
        </w:rPr>
      </w:pPr>
    </w:p>
    <w:p w:rsidR="00966A64" w:rsidRDefault="00966A64" w:rsidP="00966A64">
      <w:pPr>
        <w:pStyle w:val="a4"/>
        <w:numPr>
          <w:ilvl w:val="0"/>
          <w:numId w:val="2"/>
        </w:numPr>
        <w:tabs>
          <w:tab w:val="clear" w:pos="720"/>
          <w:tab w:val="clear" w:pos="4320"/>
          <w:tab w:val="left" w:pos="0"/>
          <w:tab w:val="left" w:pos="709"/>
          <w:tab w:val="left" w:pos="993"/>
        </w:tabs>
        <w:spacing w:line="276" w:lineRule="auto"/>
        <w:ind w:left="0" w:firstLine="567"/>
        <w:rPr>
          <w:sz w:val="26"/>
          <w:szCs w:val="26"/>
        </w:rPr>
      </w:pPr>
      <w:r w:rsidRPr="0090609C">
        <w:rPr>
          <w:sz w:val="26"/>
          <w:szCs w:val="26"/>
        </w:rPr>
        <w:t xml:space="preserve"> В Отчете отсутствуют разъяснения, по каким критериям в одних случаях крупные банки передавались на санацию и финансовое оздоровление, а в других случаях и более крупные банки лишались лицензий.</w:t>
      </w:r>
    </w:p>
    <w:p w:rsidR="00966A64" w:rsidRPr="0090609C" w:rsidRDefault="00966A64" w:rsidP="00966A64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09C">
        <w:rPr>
          <w:rFonts w:ascii="Times New Roman" w:hAnsi="Times New Roman" w:cs="Times New Roman"/>
          <w:sz w:val="26"/>
          <w:szCs w:val="26"/>
        </w:rPr>
        <w:t>В раздел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0609C">
        <w:rPr>
          <w:rFonts w:ascii="Times New Roman" w:hAnsi="Times New Roman" w:cs="Times New Roman"/>
          <w:sz w:val="26"/>
          <w:szCs w:val="26"/>
        </w:rPr>
        <w:t xml:space="preserve"> «Управление резервными активами» для повышения прозрачности деятельности Банка России предлагается раскрыть основные параметры стратегии </w:t>
      </w:r>
      <w:r>
        <w:rPr>
          <w:rFonts w:ascii="Times New Roman" w:hAnsi="Times New Roman" w:cs="Times New Roman"/>
          <w:sz w:val="26"/>
          <w:szCs w:val="26"/>
        </w:rPr>
        <w:t>управления резервными активами (</w:t>
      </w:r>
      <w:r w:rsidRPr="0090609C">
        <w:rPr>
          <w:rFonts w:ascii="Times New Roman" w:hAnsi="Times New Roman" w:cs="Times New Roman"/>
          <w:sz w:val="26"/>
          <w:szCs w:val="26"/>
        </w:rPr>
        <w:t>цели по доходности, по объему, по структуре резервными активами</w:t>
      </w:r>
      <w:r>
        <w:rPr>
          <w:rFonts w:ascii="Times New Roman" w:hAnsi="Times New Roman" w:cs="Times New Roman"/>
          <w:sz w:val="26"/>
          <w:szCs w:val="26"/>
        </w:rPr>
        <w:t>).</w:t>
      </w:r>
      <w:r w:rsidRPr="0090609C">
        <w:rPr>
          <w:rFonts w:ascii="Times New Roman" w:hAnsi="Times New Roman" w:cs="Times New Roman"/>
          <w:sz w:val="26"/>
          <w:szCs w:val="26"/>
        </w:rPr>
        <w:t xml:space="preserve"> Предлагается привести анализ международной практики по управлению международными резервами, а также обоснование политики управления резервами Банка России.</w:t>
      </w:r>
    </w:p>
    <w:p w:rsidR="00966A64" w:rsidRDefault="00966A64" w:rsidP="00966A64">
      <w:pPr>
        <w:pStyle w:val="a3"/>
        <w:tabs>
          <w:tab w:val="left" w:pos="709"/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966A64" w:rsidRPr="0090609C" w:rsidRDefault="00966A64" w:rsidP="00966A64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09C">
        <w:rPr>
          <w:rFonts w:ascii="Times New Roman" w:hAnsi="Times New Roman" w:cs="Times New Roman"/>
          <w:sz w:val="26"/>
          <w:szCs w:val="26"/>
        </w:rPr>
        <w:t>В каждом разделе отчета деятельности Банка России предлагается добавить следующие положения:</w:t>
      </w:r>
    </w:p>
    <w:p w:rsidR="00966A64" w:rsidRPr="0090609C" w:rsidRDefault="00966A64" w:rsidP="00966A64">
      <w:pPr>
        <w:pStyle w:val="a3"/>
        <w:tabs>
          <w:tab w:val="left" w:pos="709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6A64" w:rsidRPr="0090609C" w:rsidRDefault="00966A64" w:rsidP="00966A6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09C">
        <w:rPr>
          <w:rFonts w:ascii="Times New Roman" w:hAnsi="Times New Roman" w:cs="Times New Roman"/>
          <w:sz w:val="26"/>
          <w:szCs w:val="26"/>
        </w:rPr>
        <w:lastRenderedPageBreak/>
        <w:t>Необходимо включить</w:t>
      </w:r>
      <w:r w:rsidRPr="0090609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0609C">
        <w:rPr>
          <w:rFonts w:ascii="Times New Roman" w:hAnsi="Times New Roman" w:cs="Times New Roman"/>
          <w:b/>
          <w:i/>
          <w:sz w:val="26"/>
          <w:szCs w:val="26"/>
          <w:u w:val="single"/>
        </w:rPr>
        <w:t>сопоставление целей (среднесрочных и годовых) и достигнутых результатов.</w:t>
      </w:r>
      <w:r w:rsidRPr="0090609C">
        <w:rPr>
          <w:rFonts w:ascii="Times New Roman" w:hAnsi="Times New Roman" w:cs="Times New Roman"/>
          <w:sz w:val="26"/>
          <w:szCs w:val="26"/>
        </w:rPr>
        <w:t xml:space="preserve"> А также добавить анализ причин и план дальнейшего реагирования в случае, если каких-то целей достичь не удалось. В текущем отчете раздел «цели, задачи и результаты» присутствует только в разделе ДКП, предлагается данный инструментарий распространить и на другие разделы</w:t>
      </w:r>
      <w:r>
        <w:rPr>
          <w:rFonts w:ascii="Times New Roman" w:hAnsi="Times New Roman" w:cs="Times New Roman"/>
          <w:sz w:val="26"/>
          <w:szCs w:val="26"/>
        </w:rPr>
        <w:t xml:space="preserve"> Отчета.</w:t>
      </w:r>
    </w:p>
    <w:p w:rsidR="00966A64" w:rsidRPr="0090609C" w:rsidRDefault="00966A64" w:rsidP="00966A64">
      <w:pPr>
        <w:pStyle w:val="a3"/>
        <w:tabs>
          <w:tab w:val="left" w:pos="709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6A64" w:rsidRPr="0090609C" w:rsidRDefault="00966A64" w:rsidP="00966A6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09C">
        <w:rPr>
          <w:rFonts w:ascii="Times New Roman" w:hAnsi="Times New Roman" w:cs="Times New Roman"/>
          <w:sz w:val="26"/>
          <w:szCs w:val="26"/>
        </w:rPr>
        <w:t xml:space="preserve">Необходимо добавить </w:t>
      </w:r>
      <w:r w:rsidRPr="0090609C">
        <w:rPr>
          <w:rFonts w:ascii="Times New Roman" w:hAnsi="Times New Roman" w:cs="Times New Roman"/>
          <w:b/>
          <w:i/>
          <w:sz w:val="26"/>
          <w:szCs w:val="26"/>
          <w:u w:val="single"/>
        </w:rPr>
        <w:t>цели и планы на следующий год</w:t>
      </w:r>
      <w:r w:rsidRPr="0090609C">
        <w:rPr>
          <w:rFonts w:ascii="Times New Roman" w:hAnsi="Times New Roman" w:cs="Times New Roman"/>
          <w:sz w:val="26"/>
          <w:szCs w:val="26"/>
        </w:rPr>
        <w:t xml:space="preserve"> с учетом того факта, что отчет выходит в конце мая и ситуация с начала года уже значительно изменилась, появились новые риски и вызовы, и участникам рынка важно видеть наиболее актуальное мнение регулятора по основным проблемам. </w:t>
      </w:r>
    </w:p>
    <w:p w:rsidR="00966A64" w:rsidRPr="0090609C" w:rsidRDefault="00966A64" w:rsidP="00966A64">
      <w:pPr>
        <w:pStyle w:val="a3"/>
        <w:tabs>
          <w:tab w:val="left" w:pos="709"/>
          <w:tab w:val="left" w:pos="993"/>
        </w:tabs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966A64" w:rsidRPr="0090609C" w:rsidRDefault="00966A64" w:rsidP="00966A6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09C">
        <w:rPr>
          <w:rFonts w:ascii="Times New Roman" w:hAnsi="Times New Roman" w:cs="Times New Roman"/>
          <w:sz w:val="26"/>
          <w:szCs w:val="26"/>
        </w:rPr>
        <w:t xml:space="preserve">Необходимо включить </w:t>
      </w:r>
      <w:r w:rsidRPr="0090609C">
        <w:rPr>
          <w:rFonts w:ascii="Times New Roman" w:hAnsi="Times New Roman" w:cs="Times New Roman"/>
          <w:b/>
          <w:i/>
          <w:sz w:val="26"/>
          <w:szCs w:val="26"/>
          <w:u w:val="single"/>
        </w:rPr>
        <w:t>анализ последствий решений ЦБ РФ (как положительных, так и отрицательных)</w:t>
      </w:r>
      <w:r w:rsidRPr="0090609C">
        <w:rPr>
          <w:rFonts w:ascii="Times New Roman" w:hAnsi="Times New Roman" w:cs="Times New Roman"/>
          <w:sz w:val="26"/>
          <w:szCs w:val="26"/>
        </w:rPr>
        <w:t xml:space="preserve">. Так, в конце 2013 г. на банковском рынке наблюдался заметный отток клиентских средств из частных банков в </w:t>
      </w:r>
      <w:r>
        <w:rPr>
          <w:rFonts w:ascii="Times New Roman" w:hAnsi="Times New Roman" w:cs="Times New Roman"/>
          <w:sz w:val="26"/>
          <w:szCs w:val="26"/>
        </w:rPr>
        <w:t>банки с государственным участием</w:t>
      </w:r>
      <w:r w:rsidRPr="0090609C">
        <w:rPr>
          <w:rFonts w:ascii="Times New Roman" w:hAnsi="Times New Roman" w:cs="Times New Roman"/>
          <w:sz w:val="26"/>
          <w:szCs w:val="26"/>
        </w:rPr>
        <w:t>, вызванный снижением доверия после ряда отзывов лицензий у кредитных организаций.</w:t>
      </w:r>
    </w:p>
    <w:p w:rsidR="00966A64" w:rsidRPr="0090609C" w:rsidRDefault="00966A64" w:rsidP="00966A64">
      <w:pPr>
        <w:pStyle w:val="a3"/>
        <w:tabs>
          <w:tab w:val="left" w:pos="709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6A64" w:rsidRPr="0090609C" w:rsidRDefault="00966A64" w:rsidP="00966A64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proofErr w:type="gramStart"/>
      <w:r w:rsidRPr="0090609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Учитывая усиливающуюся нагрузку на кредитные организации в связи с введением новых требований Банка России, в том числе норм Базеля </w:t>
      </w:r>
      <w:r w:rsidRPr="0090609C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III</w:t>
      </w:r>
      <w:r w:rsidRPr="0090609C">
        <w:rPr>
          <w:rFonts w:ascii="Times New Roman" w:eastAsia="Times New Roman" w:hAnsi="Times New Roman" w:cs="Times New Roman"/>
          <w:spacing w:val="-1"/>
          <w:sz w:val="26"/>
          <w:szCs w:val="26"/>
        </w:rPr>
        <w:t>, предлагается в Банке России создать рабочую группу по оценке регулирующего воздействия на кредитные организации, в которую предлагается включить, помимо сотрудников Банка России, представителей банковского сообщества, а также аудиторских и консалтинговых компаний.</w:t>
      </w:r>
      <w:proofErr w:type="gramEnd"/>
      <w:r w:rsidRPr="0090609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Такая группа могла бы оценивать готовящиеся изменения нормативной базы на регулярной основе, исходя из того, какое воздействие они окажут на капитал банков и себестоимость их услуг.</w:t>
      </w:r>
    </w:p>
    <w:p w:rsidR="00966A64" w:rsidRPr="0090609C" w:rsidRDefault="00966A64" w:rsidP="00966A64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966A64" w:rsidRPr="0090609C" w:rsidRDefault="00966A64" w:rsidP="00966A64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09C">
        <w:rPr>
          <w:rFonts w:ascii="Times New Roman" w:hAnsi="Times New Roman" w:cs="Times New Roman"/>
          <w:sz w:val="26"/>
          <w:szCs w:val="26"/>
        </w:rPr>
        <w:t>Ассоциация «Россия» отмечает повышение эффективности взаимодействия Банка России с банковским сообществом в 2013г., в частности в рамках подготовк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90609C">
        <w:rPr>
          <w:rFonts w:ascii="Times New Roman" w:hAnsi="Times New Roman" w:cs="Times New Roman"/>
          <w:sz w:val="26"/>
          <w:szCs w:val="26"/>
        </w:rPr>
        <w:t>проектов нормативны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90609C"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90609C">
        <w:rPr>
          <w:rFonts w:ascii="Times New Roman" w:hAnsi="Times New Roman" w:cs="Times New Roman"/>
          <w:sz w:val="26"/>
          <w:szCs w:val="26"/>
        </w:rPr>
        <w:t xml:space="preserve"> и предоставления профессиональных и полных разъяснений по вопросам банковской деятельности.</w:t>
      </w:r>
    </w:p>
    <w:p w:rsidR="00966A64" w:rsidRPr="001903C8" w:rsidRDefault="00966A64" w:rsidP="00966A64">
      <w:pPr>
        <w:pStyle w:val="a3"/>
        <w:tabs>
          <w:tab w:val="left" w:pos="851"/>
          <w:tab w:val="left" w:pos="1560"/>
        </w:tabs>
        <w:spacing w:before="24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966A64" w:rsidRPr="00512B06" w:rsidRDefault="00966A64" w:rsidP="00966A64">
      <w:pPr>
        <w:tabs>
          <w:tab w:val="left" w:pos="851"/>
        </w:tabs>
        <w:spacing w:before="240"/>
        <w:ind w:firstLine="567"/>
        <w:jc w:val="both"/>
        <w:rPr>
          <w:sz w:val="26"/>
          <w:szCs w:val="26"/>
        </w:rPr>
      </w:pPr>
      <w:r w:rsidRPr="00512B06">
        <w:rPr>
          <w:sz w:val="26"/>
          <w:szCs w:val="26"/>
        </w:rPr>
        <w:t>С уважением,</w:t>
      </w:r>
    </w:p>
    <w:tbl>
      <w:tblPr>
        <w:tblW w:w="10286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4680"/>
        <w:gridCol w:w="2588"/>
        <w:gridCol w:w="3018"/>
      </w:tblGrid>
      <w:tr w:rsidR="00966A64" w:rsidRPr="00512B06" w:rsidTr="002078AC"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66A64" w:rsidRPr="00512B06" w:rsidRDefault="00966A64" w:rsidP="002078AC">
            <w:pPr>
              <w:tabs>
                <w:tab w:val="left" w:pos="851"/>
              </w:tabs>
              <w:ind w:firstLine="567"/>
              <w:jc w:val="both"/>
              <w:rPr>
                <w:sz w:val="26"/>
                <w:szCs w:val="26"/>
              </w:rPr>
            </w:pPr>
          </w:p>
          <w:p w:rsidR="00966A64" w:rsidRPr="00512B06" w:rsidRDefault="00966A64" w:rsidP="002078A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2B06">
              <w:rPr>
                <w:sz w:val="26"/>
                <w:szCs w:val="26"/>
              </w:rPr>
              <w:t xml:space="preserve">резидент Ассоциации «Россия» </w:t>
            </w:r>
          </w:p>
          <w:p w:rsidR="00966A64" w:rsidRPr="00512B06" w:rsidRDefault="00966A64" w:rsidP="002078AC">
            <w:pPr>
              <w:tabs>
                <w:tab w:val="left" w:pos="851"/>
              </w:tabs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5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66A64" w:rsidRPr="00512B06" w:rsidRDefault="00966A64" w:rsidP="002078AC">
            <w:pPr>
              <w:tabs>
                <w:tab w:val="left" w:pos="851"/>
              </w:tabs>
              <w:spacing w:after="12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66A64" w:rsidRPr="00512B06" w:rsidRDefault="00966A64" w:rsidP="002078AC">
            <w:pPr>
              <w:tabs>
                <w:tab w:val="left" w:pos="851"/>
              </w:tabs>
              <w:ind w:firstLine="567"/>
              <w:jc w:val="both"/>
              <w:rPr>
                <w:sz w:val="26"/>
                <w:szCs w:val="26"/>
              </w:rPr>
            </w:pPr>
          </w:p>
          <w:p w:rsidR="00966A64" w:rsidRPr="00512B06" w:rsidRDefault="00966A64" w:rsidP="002078AC">
            <w:pPr>
              <w:tabs>
                <w:tab w:val="left" w:pos="851"/>
              </w:tabs>
              <w:ind w:firstLine="567"/>
              <w:jc w:val="both"/>
              <w:rPr>
                <w:sz w:val="26"/>
                <w:szCs w:val="26"/>
              </w:rPr>
            </w:pPr>
            <w:r w:rsidRPr="00512B06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>Г. Аксаков</w:t>
            </w:r>
          </w:p>
        </w:tc>
      </w:tr>
    </w:tbl>
    <w:p w:rsidR="00966A64" w:rsidRDefault="00966A64" w:rsidP="00966A64">
      <w:pPr>
        <w:pStyle w:val="Defaul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6A64" w:rsidRDefault="00966A64" w:rsidP="00966A64">
      <w:pPr>
        <w:pStyle w:val="Defaul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6A64" w:rsidRDefault="00966A64" w:rsidP="00966A64">
      <w:pPr>
        <w:pStyle w:val="Defaul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6A64" w:rsidRDefault="00966A64" w:rsidP="00966A64">
      <w:pPr>
        <w:pStyle w:val="Defaul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6A64" w:rsidRDefault="00966A64" w:rsidP="00966A64">
      <w:pPr>
        <w:pStyle w:val="Defaul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6A64" w:rsidRDefault="00966A64" w:rsidP="00966A64">
      <w:pPr>
        <w:pStyle w:val="Defaul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6A64" w:rsidRDefault="00966A64" w:rsidP="00966A64">
      <w:pPr>
        <w:pStyle w:val="Defaul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6A64" w:rsidRPr="000A48ED" w:rsidRDefault="00966A64" w:rsidP="00966A64">
      <w:pPr>
        <w:pStyle w:val="Defaul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0A48ED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</w:t>
      </w:r>
      <w:proofErr w:type="gramStart"/>
      <w:r w:rsidRPr="000A48ED">
        <w:rPr>
          <w:rFonts w:ascii="Times New Roman" w:eastAsia="Times New Roman" w:hAnsi="Times New Roman" w:cs="Times New Roman"/>
          <w:sz w:val="18"/>
          <w:szCs w:val="18"/>
          <w:lang w:eastAsia="ru-RU"/>
        </w:rPr>
        <w:t>:А</w:t>
      </w:r>
      <w:proofErr w:type="gramEnd"/>
      <w:r w:rsidRPr="000A48ED">
        <w:rPr>
          <w:rFonts w:ascii="Times New Roman" w:eastAsia="Times New Roman" w:hAnsi="Times New Roman" w:cs="Times New Roman"/>
          <w:sz w:val="18"/>
          <w:szCs w:val="18"/>
          <w:lang w:eastAsia="ru-RU"/>
        </w:rPr>
        <w:t>ндреева</w:t>
      </w:r>
      <w:proofErr w:type="spellEnd"/>
      <w:r w:rsidRPr="000A48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М.В.</w:t>
      </w:r>
    </w:p>
    <w:p w:rsidR="00DA56AB" w:rsidRDefault="00966A64" w:rsidP="00966A64">
      <w:pPr>
        <w:pStyle w:val="Default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(495)785-29-90 доб.113</w:t>
      </w:r>
    </w:p>
    <w:sectPr w:rsidR="00DA56AB" w:rsidSect="00DA56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447" w:rsidRDefault="00FC0447" w:rsidP="00966A64">
      <w:r>
        <w:separator/>
      </w:r>
    </w:p>
  </w:endnote>
  <w:endnote w:type="continuationSeparator" w:id="0">
    <w:p w:rsidR="00FC0447" w:rsidRDefault="00FC0447" w:rsidP="00966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4980"/>
      <w:docPartObj>
        <w:docPartGallery w:val="Page Numbers (Bottom of Page)"/>
        <w:docPartUnique/>
      </w:docPartObj>
    </w:sdtPr>
    <w:sdtContent>
      <w:p w:rsidR="00966A64" w:rsidRDefault="00966A64">
        <w:pPr>
          <w:pStyle w:val="a8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66A64" w:rsidRDefault="00966A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447" w:rsidRDefault="00FC0447" w:rsidP="00966A64">
      <w:r>
        <w:separator/>
      </w:r>
    </w:p>
  </w:footnote>
  <w:footnote w:type="continuationSeparator" w:id="0">
    <w:p w:rsidR="00FC0447" w:rsidRDefault="00FC0447" w:rsidP="00966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53FE"/>
    <w:multiLevelType w:val="hybridMultilevel"/>
    <w:tmpl w:val="BB08A5A0"/>
    <w:lvl w:ilvl="0" w:tplc="662AF9DE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0B73CD"/>
    <w:multiLevelType w:val="hybridMultilevel"/>
    <w:tmpl w:val="BC86D12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4FC"/>
    <w:rsid w:val="0000020B"/>
    <w:rsid w:val="00002CEA"/>
    <w:rsid w:val="000034FE"/>
    <w:rsid w:val="00003D32"/>
    <w:rsid w:val="000042DE"/>
    <w:rsid w:val="00005323"/>
    <w:rsid w:val="000061C4"/>
    <w:rsid w:val="00006359"/>
    <w:rsid w:val="00007EF0"/>
    <w:rsid w:val="000146E5"/>
    <w:rsid w:val="00014D59"/>
    <w:rsid w:val="00015FC3"/>
    <w:rsid w:val="00016B3F"/>
    <w:rsid w:val="00021016"/>
    <w:rsid w:val="00021CA1"/>
    <w:rsid w:val="000231C0"/>
    <w:rsid w:val="00023DD3"/>
    <w:rsid w:val="000241EA"/>
    <w:rsid w:val="00024288"/>
    <w:rsid w:val="00024B30"/>
    <w:rsid w:val="00024C70"/>
    <w:rsid w:val="00024EAF"/>
    <w:rsid w:val="0002619A"/>
    <w:rsid w:val="00026AE0"/>
    <w:rsid w:val="00027998"/>
    <w:rsid w:val="0003035B"/>
    <w:rsid w:val="000319E9"/>
    <w:rsid w:val="0003322B"/>
    <w:rsid w:val="000337BD"/>
    <w:rsid w:val="00033F12"/>
    <w:rsid w:val="0003474B"/>
    <w:rsid w:val="000353A0"/>
    <w:rsid w:val="000373BD"/>
    <w:rsid w:val="00037C4D"/>
    <w:rsid w:val="00040B43"/>
    <w:rsid w:val="00040CE5"/>
    <w:rsid w:val="00042D95"/>
    <w:rsid w:val="000431AB"/>
    <w:rsid w:val="00044200"/>
    <w:rsid w:val="00047C98"/>
    <w:rsid w:val="000500D8"/>
    <w:rsid w:val="00050DD3"/>
    <w:rsid w:val="0005192E"/>
    <w:rsid w:val="00051DBD"/>
    <w:rsid w:val="0005396E"/>
    <w:rsid w:val="00053F87"/>
    <w:rsid w:val="000548B9"/>
    <w:rsid w:val="00054DAD"/>
    <w:rsid w:val="00055A0A"/>
    <w:rsid w:val="00056C18"/>
    <w:rsid w:val="000578E1"/>
    <w:rsid w:val="00057CD5"/>
    <w:rsid w:val="000621A7"/>
    <w:rsid w:val="00064D82"/>
    <w:rsid w:val="0006568B"/>
    <w:rsid w:val="000674A8"/>
    <w:rsid w:val="00067A94"/>
    <w:rsid w:val="0007008D"/>
    <w:rsid w:val="0007028F"/>
    <w:rsid w:val="00070937"/>
    <w:rsid w:val="000713D6"/>
    <w:rsid w:val="00071906"/>
    <w:rsid w:val="0007256E"/>
    <w:rsid w:val="0007301E"/>
    <w:rsid w:val="00074865"/>
    <w:rsid w:val="000764BE"/>
    <w:rsid w:val="00077426"/>
    <w:rsid w:val="00080737"/>
    <w:rsid w:val="00080E86"/>
    <w:rsid w:val="00080FDA"/>
    <w:rsid w:val="0008106A"/>
    <w:rsid w:val="00082432"/>
    <w:rsid w:val="00082D13"/>
    <w:rsid w:val="00083302"/>
    <w:rsid w:val="000835B0"/>
    <w:rsid w:val="00084633"/>
    <w:rsid w:val="00084D1F"/>
    <w:rsid w:val="00085254"/>
    <w:rsid w:val="00085E75"/>
    <w:rsid w:val="00086687"/>
    <w:rsid w:val="00087079"/>
    <w:rsid w:val="00091F92"/>
    <w:rsid w:val="00092476"/>
    <w:rsid w:val="000932A3"/>
    <w:rsid w:val="00093392"/>
    <w:rsid w:val="00093E56"/>
    <w:rsid w:val="00094D07"/>
    <w:rsid w:val="000952B8"/>
    <w:rsid w:val="00095F40"/>
    <w:rsid w:val="00096A32"/>
    <w:rsid w:val="00097D4F"/>
    <w:rsid w:val="00097D55"/>
    <w:rsid w:val="000A0689"/>
    <w:rsid w:val="000A2668"/>
    <w:rsid w:val="000A2746"/>
    <w:rsid w:val="000A30EA"/>
    <w:rsid w:val="000A5410"/>
    <w:rsid w:val="000A6A13"/>
    <w:rsid w:val="000A6C1E"/>
    <w:rsid w:val="000A7AF0"/>
    <w:rsid w:val="000B1FC7"/>
    <w:rsid w:val="000B2BE5"/>
    <w:rsid w:val="000B3635"/>
    <w:rsid w:val="000B459D"/>
    <w:rsid w:val="000B45E6"/>
    <w:rsid w:val="000B54C6"/>
    <w:rsid w:val="000B5533"/>
    <w:rsid w:val="000B681A"/>
    <w:rsid w:val="000B6B06"/>
    <w:rsid w:val="000B6F27"/>
    <w:rsid w:val="000C023C"/>
    <w:rsid w:val="000C0390"/>
    <w:rsid w:val="000C10F7"/>
    <w:rsid w:val="000C2B9B"/>
    <w:rsid w:val="000C3C93"/>
    <w:rsid w:val="000C47DE"/>
    <w:rsid w:val="000C5536"/>
    <w:rsid w:val="000C582F"/>
    <w:rsid w:val="000C5E91"/>
    <w:rsid w:val="000C78EC"/>
    <w:rsid w:val="000D3D4B"/>
    <w:rsid w:val="000D3DD5"/>
    <w:rsid w:val="000D484B"/>
    <w:rsid w:val="000D57DB"/>
    <w:rsid w:val="000D64DB"/>
    <w:rsid w:val="000D7CFA"/>
    <w:rsid w:val="000E1059"/>
    <w:rsid w:val="000E14AD"/>
    <w:rsid w:val="000E1517"/>
    <w:rsid w:val="000E1BB6"/>
    <w:rsid w:val="000E1D5C"/>
    <w:rsid w:val="000E2EAD"/>
    <w:rsid w:val="000E3354"/>
    <w:rsid w:val="000E3CCF"/>
    <w:rsid w:val="000E4D9A"/>
    <w:rsid w:val="000E5A80"/>
    <w:rsid w:val="000E6004"/>
    <w:rsid w:val="000E76E3"/>
    <w:rsid w:val="000E7761"/>
    <w:rsid w:val="000E7A79"/>
    <w:rsid w:val="000F1C92"/>
    <w:rsid w:val="000F2CBB"/>
    <w:rsid w:val="000F3268"/>
    <w:rsid w:val="000F367A"/>
    <w:rsid w:val="000F376F"/>
    <w:rsid w:val="000F5960"/>
    <w:rsid w:val="000F6AB5"/>
    <w:rsid w:val="000F6D89"/>
    <w:rsid w:val="000F7A4F"/>
    <w:rsid w:val="0010047F"/>
    <w:rsid w:val="001015A1"/>
    <w:rsid w:val="00102675"/>
    <w:rsid w:val="001026DE"/>
    <w:rsid w:val="00103A1A"/>
    <w:rsid w:val="00105DD9"/>
    <w:rsid w:val="00106BB0"/>
    <w:rsid w:val="0011037C"/>
    <w:rsid w:val="00110C15"/>
    <w:rsid w:val="00111470"/>
    <w:rsid w:val="00111BB3"/>
    <w:rsid w:val="00111E80"/>
    <w:rsid w:val="0011269B"/>
    <w:rsid w:val="00113072"/>
    <w:rsid w:val="001130CC"/>
    <w:rsid w:val="00115070"/>
    <w:rsid w:val="00115667"/>
    <w:rsid w:val="0011588D"/>
    <w:rsid w:val="00115962"/>
    <w:rsid w:val="001165A8"/>
    <w:rsid w:val="0011731D"/>
    <w:rsid w:val="001204C2"/>
    <w:rsid w:val="0012074B"/>
    <w:rsid w:val="001211F4"/>
    <w:rsid w:val="001213DF"/>
    <w:rsid w:val="00121A4E"/>
    <w:rsid w:val="00122E69"/>
    <w:rsid w:val="00123B74"/>
    <w:rsid w:val="00124735"/>
    <w:rsid w:val="00124C39"/>
    <w:rsid w:val="00125BD5"/>
    <w:rsid w:val="0012613A"/>
    <w:rsid w:val="00126680"/>
    <w:rsid w:val="0012719A"/>
    <w:rsid w:val="00127EF3"/>
    <w:rsid w:val="00130396"/>
    <w:rsid w:val="00130673"/>
    <w:rsid w:val="00130B6E"/>
    <w:rsid w:val="00130CEF"/>
    <w:rsid w:val="00131F6A"/>
    <w:rsid w:val="00132745"/>
    <w:rsid w:val="00132ABF"/>
    <w:rsid w:val="001333AB"/>
    <w:rsid w:val="00133867"/>
    <w:rsid w:val="001339C2"/>
    <w:rsid w:val="0013729D"/>
    <w:rsid w:val="001379EB"/>
    <w:rsid w:val="00137D5F"/>
    <w:rsid w:val="00137D9B"/>
    <w:rsid w:val="001400B0"/>
    <w:rsid w:val="001400C7"/>
    <w:rsid w:val="001409E3"/>
    <w:rsid w:val="00141C0B"/>
    <w:rsid w:val="00143E11"/>
    <w:rsid w:val="001441D9"/>
    <w:rsid w:val="00146E09"/>
    <w:rsid w:val="001524AC"/>
    <w:rsid w:val="0015317E"/>
    <w:rsid w:val="00153AE4"/>
    <w:rsid w:val="00154438"/>
    <w:rsid w:val="00154884"/>
    <w:rsid w:val="00155E09"/>
    <w:rsid w:val="001564E3"/>
    <w:rsid w:val="00156523"/>
    <w:rsid w:val="00160995"/>
    <w:rsid w:val="00162052"/>
    <w:rsid w:val="001627F2"/>
    <w:rsid w:val="0016454A"/>
    <w:rsid w:val="0016487C"/>
    <w:rsid w:val="0016489E"/>
    <w:rsid w:val="00164A55"/>
    <w:rsid w:val="001655A3"/>
    <w:rsid w:val="0016560C"/>
    <w:rsid w:val="001660FA"/>
    <w:rsid w:val="00166210"/>
    <w:rsid w:val="00167EA5"/>
    <w:rsid w:val="00167FFD"/>
    <w:rsid w:val="0017077F"/>
    <w:rsid w:val="00170951"/>
    <w:rsid w:val="0017388B"/>
    <w:rsid w:val="00174EDE"/>
    <w:rsid w:val="00175101"/>
    <w:rsid w:val="00176366"/>
    <w:rsid w:val="00176740"/>
    <w:rsid w:val="00176BC6"/>
    <w:rsid w:val="00177BBE"/>
    <w:rsid w:val="00177F75"/>
    <w:rsid w:val="00180A6E"/>
    <w:rsid w:val="00183800"/>
    <w:rsid w:val="00184162"/>
    <w:rsid w:val="001845E0"/>
    <w:rsid w:val="00186D83"/>
    <w:rsid w:val="0019013C"/>
    <w:rsid w:val="00191275"/>
    <w:rsid w:val="00191963"/>
    <w:rsid w:val="00191A9A"/>
    <w:rsid w:val="00191C2C"/>
    <w:rsid w:val="00191D9A"/>
    <w:rsid w:val="0019351F"/>
    <w:rsid w:val="001936F7"/>
    <w:rsid w:val="00194361"/>
    <w:rsid w:val="00196934"/>
    <w:rsid w:val="00196E3B"/>
    <w:rsid w:val="00197C06"/>
    <w:rsid w:val="001A05D5"/>
    <w:rsid w:val="001A091F"/>
    <w:rsid w:val="001A1B2A"/>
    <w:rsid w:val="001A3DE1"/>
    <w:rsid w:val="001A687F"/>
    <w:rsid w:val="001A6BDD"/>
    <w:rsid w:val="001A77A4"/>
    <w:rsid w:val="001B075E"/>
    <w:rsid w:val="001B1202"/>
    <w:rsid w:val="001B1453"/>
    <w:rsid w:val="001B1E15"/>
    <w:rsid w:val="001B268F"/>
    <w:rsid w:val="001B2EA3"/>
    <w:rsid w:val="001B333C"/>
    <w:rsid w:val="001B4AE9"/>
    <w:rsid w:val="001B4F4D"/>
    <w:rsid w:val="001B5D49"/>
    <w:rsid w:val="001B75D2"/>
    <w:rsid w:val="001C0422"/>
    <w:rsid w:val="001C0667"/>
    <w:rsid w:val="001C1A2A"/>
    <w:rsid w:val="001C2E9D"/>
    <w:rsid w:val="001C426C"/>
    <w:rsid w:val="001C6155"/>
    <w:rsid w:val="001C642C"/>
    <w:rsid w:val="001C71E6"/>
    <w:rsid w:val="001D0C74"/>
    <w:rsid w:val="001D1184"/>
    <w:rsid w:val="001D3A14"/>
    <w:rsid w:val="001D3A6D"/>
    <w:rsid w:val="001D44D8"/>
    <w:rsid w:val="001D5DF6"/>
    <w:rsid w:val="001D7D59"/>
    <w:rsid w:val="001E1E03"/>
    <w:rsid w:val="001E1F2A"/>
    <w:rsid w:val="001E2675"/>
    <w:rsid w:val="001E2F3C"/>
    <w:rsid w:val="001E38E4"/>
    <w:rsid w:val="001E4CAA"/>
    <w:rsid w:val="001E5A0B"/>
    <w:rsid w:val="001E73FD"/>
    <w:rsid w:val="001E7EF4"/>
    <w:rsid w:val="001F12F5"/>
    <w:rsid w:val="001F19AD"/>
    <w:rsid w:val="001F2009"/>
    <w:rsid w:val="001F2DEE"/>
    <w:rsid w:val="001F3148"/>
    <w:rsid w:val="001F34B4"/>
    <w:rsid w:val="001F3B28"/>
    <w:rsid w:val="001F44F9"/>
    <w:rsid w:val="001F4668"/>
    <w:rsid w:val="001F6428"/>
    <w:rsid w:val="001F7619"/>
    <w:rsid w:val="001F76DB"/>
    <w:rsid w:val="00200975"/>
    <w:rsid w:val="00200DCC"/>
    <w:rsid w:val="00201EA2"/>
    <w:rsid w:val="002024D4"/>
    <w:rsid w:val="00202F17"/>
    <w:rsid w:val="00206C1D"/>
    <w:rsid w:val="00207720"/>
    <w:rsid w:val="00207AF5"/>
    <w:rsid w:val="00210A34"/>
    <w:rsid w:val="0021360F"/>
    <w:rsid w:val="00217258"/>
    <w:rsid w:val="002176B9"/>
    <w:rsid w:val="002179D3"/>
    <w:rsid w:val="00217F18"/>
    <w:rsid w:val="00220DDF"/>
    <w:rsid w:val="0022507D"/>
    <w:rsid w:val="00227790"/>
    <w:rsid w:val="00231F46"/>
    <w:rsid w:val="00232300"/>
    <w:rsid w:val="0023281C"/>
    <w:rsid w:val="002333CD"/>
    <w:rsid w:val="0023363F"/>
    <w:rsid w:val="00233BF6"/>
    <w:rsid w:val="0023485E"/>
    <w:rsid w:val="00235790"/>
    <w:rsid w:val="00236851"/>
    <w:rsid w:val="0024250F"/>
    <w:rsid w:val="00242F68"/>
    <w:rsid w:val="00243A91"/>
    <w:rsid w:val="002448E6"/>
    <w:rsid w:val="00245ADA"/>
    <w:rsid w:val="00245F8F"/>
    <w:rsid w:val="00246184"/>
    <w:rsid w:val="00246585"/>
    <w:rsid w:val="00246C27"/>
    <w:rsid w:val="0024748C"/>
    <w:rsid w:val="0024782D"/>
    <w:rsid w:val="00250FD3"/>
    <w:rsid w:val="0025171C"/>
    <w:rsid w:val="0025259A"/>
    <w:rsid w:val="002526B4"/>
    <w:rsid w:val="002540FB"/>
    <w:rsid w:val="00254929"/>
    <w:rsid w:val="00254B53"/>
    <w:rsid w:val="00255120"/>
    <w:rsid w:val="002606A9"/>
    <w:rsid w:val="00260AAD"/>
    <w:rsid w:val="002611C5"/>
    <w:rsid w:val="00261B47"/>
    <w:rsid w:val="0026232D"/>
    <w:rsid w:val="00263768"/>
    <w:rsid w:val="00263EAD"/>
    <w:rsid w:val="00264CE5"/>
    <w:rsid w:val="00264CF4"/>
    <w:rsid w:val="00265531"/>
    <w:rsid w:val="00265CA1"/>
    <w:rsid w:val="002663C5"/>
    <w:rsid w:val="0027039C"/>
    <w:rsid w:val="0027093B"/>
    <w:rsid w:val="00272481"/>
    <w:rsid w:val="002728C9"/>
    <w:rsid w:val="00276328"/>
    <w:rsid w:val="002769B9"/>
    <w:rsid w:val="002774B6"/>
    <w:rsid w:val="00280255"/>
    <w:rsid w:val="00281B85"/>
    <w:rsid w:val="00281F96"/>
    <w:rsid w:val="00283B52"/>
    <w:rsid w:val="002844FC"/>
    <w:rsid w:val="0028509E"/>
    <w:rsid w:val="002855B5"/>
    <w:rsid w:val="002856BC"/>
    <w:rsid w:val="0028613A"/>
    <w:rsid w:val="0028629D"/>
    <w:rsid w:val="0028685A"/>
    <w:rsid w:val="002908B7"/>
    <w:rsid w:val="00291007"/>
    <w:rsid w:val="00291977"/>
    <w:rsid w:val="0029245D"/>
    <w:rsid w:val="00295D29"/>
    <w:rsid w:val="0029625C"/>
    <w:rsid w:val="00296AAC"/>
    <w:rsid w:val="00296F07"/>
    <w:rsid w:val="002A0546"/>
    <w:rsid w:val="002A0958"/>
    <w:rsid w:val="002A0BDE"/>
    <w:rsid w:val="002A16D9"/>
    <w:rsid w:val="002A1D8E"/>
    <w:rsid w:val="002A3277"/>
    <w:rsid w:val="002A4317"/>
    <w:rsid w:val="002A5518"/>
    <w:rsid w:val="002A62BE"/>
    <w:rsid w:val="002A6F27"/>
    <w:rsid w:val="002A7B43"/>
    <w:rsid w:val="002B0CE6"/>
    <w:rsid w:val="002B14DE"/>
    <w:rsid w:val="002B3AD7"/>
    <w:rsid w:val="002B6704"/>
    <w:rsid w:val="002B7071"/>
    <w:rsid w:val="002C058A"/>
    <w:rsid w:val="002C0ADD"/>
    <w:rsid w:val="002C0D42"/>
    <w:rsid w:val="002C29AA"/>
    <w:rsid w:val="002C32C3"/>
    <w:rsid w:val="002C6C63"/>
    <w:rsid w:val="002C76B7"/>
    <w:rsid w:val="002D1867"/>
    <w:rsid w:val="002D1B5E"/>
    <w:rsid w:val="002D20FC"/>
    <w:rsid w:val="002D463A"/>
    <w:rsid w:val="002D494B"/>
    <w:rsid w:val="002D4B2E"/>
    <w:rsid w:val="002D5F93"/>
    <w:rsid w:val="002D624E"/>
    <w:rsid w:val="002E10A9"/>
    <w:rsid w:val="002E18CC"/>
    <w:rsid w:val="002E34F6"/>
    <w:rsid w:val="002E38A0"/>
    <w:rsid w:val="002E4068"/>
    <w:rsid w:val="002E53C3"/>
    <w:rsid w:val="002E72BE"/>
    <w:rsid w:val="002F009E"/>
    <w:rsid w:val="002F1326"/>
    <w:rsid w:val="002F21D9"/>
    <w:rsid w:val="002F3221"/>
    <w:rsid w:val="002F3A47"/>
    <w:rsid w:val="002F3B6E"/>
    <w:rsid w:val="002F3E20"/>
    <w:rsid w:val="002F5E78"/>
    <w:rsid w:val="002F62BA"/>
    <w:rsid w:val="002F6691"/>
    <w:rsid w:val="002F66B5"/>
    <w:rsid w:val="002F70E5"/>
    <w:rsid w:val="002F7ADB"/>
    <w:rsid w:val="0030174B"/>
    <w:rsid w:val="003025A3"/>
    <w:rsid w:val="003039A4"/>
    <w:rsid w:val="00304355"/>
    <w:rsid w:val="00304E97"/>
    <w:rsid w:val="00307414"/>
    <w:rsid w:val="00307FA7"/>
    <w:rsid w:val="003107C1"/>
    <w:rsid w:val="003126E8"/>
    <w:rsid w:val="0031401F"/>
    <w:rsid w:val="003143B1"/>
    <w:rsid w:val="00314E94"/>
    <w:rsid w:val="00315B7D"/>
    <w:rsid w:val="0031624F"/>
    <w:rsid w:val="0031636D"/>
    <w:rsid w:val="0031636F"/>
    <w:rsid w:val="003168D0"/>
    <w:rsid w:val="00316D33"/>
    <w:rsid w:val="003175F3"/>
    <w:rsid w:val="0031783A"/>
    <w:rsid w:val="00321360"/>
    <w:rsid w:val="0032203A"/>
    <w:rsid w:val="0032266A"/>
    <w:rsid w:val="0032357F"/>
    <w:rsid w:val="00323CBB"/>
    <w:rsid w:val="003253CD"/>
    <w:rsid w:val="00325797"/>
    <w:rsid w:val="0032728C"/>
    <w:rsid w:val="0032790D"/>
    <w:rsid w:val="00333D81"/>
    <w:rsid w:val="00333E6C"/>
    <w:rsid w:val="003342E8"/>
    <w:rsid w:val="003343E4"/>
    <w:rsid w:val="003350E3"/>
    <w:rsid w:val="0033589B"/>
    <w:rsid w:val="00336370"/>
    <w:rsid w:val="0033678D"/>
    <w:rsid w:val="0034004A"/>
    <w:rsid w:val="0034083E"/>
    <w:rsid w:val="00340DC0"/>
    <w:rsid w:val="003450B4"/>
    <w:rsid w:val="00345ABD"/>
    <w:rsid w:val="003460E8"/>
    <w:rsid w:val="00346920"/>
    <w:rsid w:val="00346F93"/>
    <w:rsid w:val="00347BDC"/>
    <w:rsid w:val="00347C13"/>
    <w:rsid w:val="003515DF"/>
    <w:rsid w:val="00351794"/>
    <w:rsid w:val="003521B4"/>
    <w:rsid w:val="003535F5"/>
    <w:rsid w:val="00353E20"/>
    <w:rsid w:val="003559C5"/>
    <w:rsid w:val="00356C7D"/>
    <w:rsid w:val="00357A40"/>
    <w:rsid w:val="00362957"/>
    <w:rsid w:val="003629DF"/>
    <w:rsid w:val="003635ED"/>
    <w:rsid w:val="00365986"/>
    <w:rsid w:val="0036673F"/>
    <w:rsid w:val="00367343"/>
    <w:rsid w:val="00367B8F"/>
    <w:rsid w:val="0037151E"/>
    <w:rsid w:val="003716F5"/>
    <w:rsid w:val="00371724"/>
    <w:rsid w:val="0037273B"/>
    <w:rsid w:val="00375260"/>
    <w:rsid w:val="00375291"/>
    <w:rsid w:val="00375CE0"/>
    <w:rsid w:val="00375D0B"/>
    <w:rsid w:val="0037653A"/>
    <w:rsid w:val="00376BE3"/>
    <w:rsid w:val="003771B0"/>
    <w:rsid w:val="00377255"/>
    <w:rsid w:val="00377893"/>
    <w:rsid w:val="00380F2D"/>
    <w:rsid w:val="0038185C"/>
    <w:rsid w:val="0038193F"/>
    <w:rsid w:val="00384C61"/>
    <w:rsid w:val="003903BD"/>
    <w:rsid w:val="00392ED1"/>
    <w:rsid w:val="00393A3B"/>
    <w:rsid w:val="0039553E"/>
    <w:rsid w:val="0039571C"/>
    <w:rsid w:val="0039626A"/>
    <w:rsid w:val="00396498"/>
    <w:rsid w:val="003964D9"/>
    <w:rsid w:val="003A07DF"/>
    <w:rsid w:val="003A222C"/>
    <w:rsid w:val="003A24B7"/>
    <w:rsid w:val="003A2D0D"/>
    <w:rsid w:val="003A2FB4"/>
    <w:rsid w:val="003A4DF8"/>
    <w:rsid w:val="003A6146"/>
    <w:rsid w:val="003A6A78"/>
    <w:rsid w:val="003A75FC"/>
    <w:rsid w:val="003B096E"/>
    <w:rsid w:val="003B107C"/>
    <w:rsid w:val="003B35AB"/>
    <w:rsid w:val="003B4622"/>
    <w:rsid w:val="003B4701"/>
    <w:rsid w:val="003B4D75"/>
    <w:rsid w:val="003B5BC6"/>
    <w:rsid w:val="003B6AEF"/>
    <w:rsid w:val="003C066C"/>
    <w:rsid w:val="003C13FD"/>
    <w:rsid w:val="003C1DAC"/>
    <w:rsid w:val="003C2382"/>
    <w:rsid w:val="003C4E34"/>
    <w:rsid w:val="003C5760"/>
    <w:rsid w:val="003C5B50"/>
    <w:rsid w:val="003D034F"/>
    <w:rsid w:val="003D23CB"/>
    <w:rsid w:val="003D3061"/>
    <w:rsid w:val="003D3587"/>
    <w:rsid w:val="003D4153"/>
    <w:rsid w:val="003D483B"/>
    <w:rsid w:val="003D5A5D"/>
    <w:rsid w:val="003D76D0"/>
    <w:rsid w:val="003E17A3"/>
    <w:rsid w:val="003E1941"/>
    <w:rsid w:val="003E21FB"/>
    <w:rsid w:val="003E2482"/>
    <w:rsid w:val="003E42AD"/>
    <w:rsid w:val="003E456B"/>
    <w:rsid w:val="003E497E"/>
    <w:rsid w:val="003E5CA4"/>
    <w:rsid w:val="003E6A0C"/>
    <w:rsid w:val="003E7F4F"/>
    <w:rsid w:val="003F04FA"/>
    <w:rsid w:val="003F0584"/>
    <w:rsid w:val="003F0C2C"/>
    <w:rsid w:val="003F1E6E"/>
    <w:rsid w:val="003F5535"/>
    <w:rsid w:val="003F591A"/>
    <w:rsid w:val="003F677A"/>
    <w:rsid w:val="003F7393"/>
    <w:rsid w:val="00400780"/>
    <w:rsid w:val="0040080E"/>
    <w:rsid w:val="0040081A"/>
    <w:rsid w:val="00400EC4"/>
    <w:rsid w:val="004012E3"/>
    <w:rsid w:val="00401A0F"/>
    <w:rsid w:val="00401A70"/>
    <w:rsid w:val="004025DC"/>
    <w:rsid w:val="004043FE"/>
    <w:rsid w:val="00405668"/>
    <w:rsid w:val="004057FF"/>
    <w:rsid w:val="0040588D"/>
    <w:rsid w:val="00405F41"/>
    <w:rsid w:val="004064EE"/>
    <w:rsid w:val="004067E7"/>
    <w:rsid w:val="00407898"/>
    <w:rsid w:val="00411F88"/>
    <w:rsid w:val="004134B8"/>
    <w:rsid w:val="00414357"/>
    <w:rsid w:val="00415D07"/>
    <w:rsid w:val="004205CF"/>
    <w:rsid w:val="004235D4"/>
    <w:rsid w:val="00424FCE"/>
    <w:rsid w:val="00426FDD"/>
    <w:rsid w:val="00430280"/>
    <w:rsid w:val="0043067E"/>
    <w:rsid w:val="00430792"/>
    <w:rsid w:val="00433238"/>
    <w:rsid w:val="00433758"/>
    <w:rsid w:val="004346DA"/>
    <w:rsid w:val="00435B4F"/>
    <w:rsid w:val="00435EA1"/>
    <w:rsid w:val="00435F9A"/>
    <w:rsid w:val="004363A1"/>
    <w:rsid w:val="0043704C"/>
    <w:rsid w:val="004403FB"/>
    <w:rsid w:val="00440F13"/>
    <w:rsid w:val="0044481E"/>
    <w:rsid w:val="00446EF6"/>
    <w:rsid w:val="00447AEA"/>
    <w:rsid w:val="0045038B"/>
    <w:rsid w:val="00450D54"/>
    <w:rsid w:val="0045462D"/>
    <w:rsid w:val="00455983"/>
    <w:rsid w:val="00457BEA"/>
    <w:rsid w:val="004605E2"/>
    <w:rsid w:val="004607B1"/>
    <w:rsid w:val="00460E53"/>
    <w:rsid w:val="00460F25"/>
    <w:rsid w:val="00462AB1"/>
    <w:rsid w:val="00464581"/>
    <w:rsid w:val="00465E8C"/>
    <w:rsid w:val="00472CE9"/>
    <w:rsid w:val="00474006"/>
    <w:rsid w:val="0047465F"/>
    <w:rsid w:val="004757D8"/>
    <w:rsid w:val="00477E42"/>
    <w:rsid w:val="0048014D"/>
    <w:rsid w:val="00481A26"/>
    <w:rsid w:val="00482D7F"/>
    <w:rsid w:val="0048378F"/>
    <w:rsid w:val="004849DD"/>
    <w:rsid w:val="00484C60"/>
    <w:rsid w:val="00485E09"/>
    <w:rsid w:val="004862AF"/>
    <w:rsid w:val="004862D2"/>
    <w:rsid w:val="00486851"/>
    <w:rsid w:val="004869F5"/>
    <w:rsid w:val="00486B3A"/>
    <w:rsid w:val="00487B1C"/>
    <w:rsid w:val="00487BE8"/>
    <w:rsid w:val="00491DE1"/>
    <w:rsid w:val="0049244D"/>
    <w:rsid w:val="00492976"/>
    <w:rsid w:val="00493486"/>
    <w:rsid w:val="004953E3"/>
    <w:rsid w:val="00495A6D"/>
    <w:rsid w:val="00495F1B"/>
    <w:rsid w:val="00496AA4"/>
    <w:rsid w:val="00496B5D"/>
    <w:rsid w:val="004973D5"/>
    <w:rsid w:val="004977AD"/>
    <w:rsid w:val="00497FE5"/>
    <w:rsid w:val="004A1072"/>
    <w:rsid w:val="004A286B"/>
    <w:rsid w:val="004A2FE7"/>
    <w:rsid w:val="004A3A51"/>
    <w:rsid w:val="004A76CD"/>
    <w:rsid w:val="004B01FB"/>
    <w:rsid w:val="004B0F5F"/>
    <w:rsid w:val="004B19C5"/>
    <w:rsid w:val="004B25F8"/>
    <w:rsid w:val="004B4903"/>
    <w:rsid w:val="004B4D98"/>
    <w:rsid w:val="004B6AE4"/>
    <w:rsid w:val="004B7C0F"/>
    <w:rsid w:val="004B7D85"/>
    <w:rsid w:val="004C0C1A"/>
    <w:rsid w:val="004C1352"/>
    <w:rsid w:val="004C216F"/>
    <w:rsid w:val="004C5BB9"/>
    <w:rsid w:val="004C5BBA"/>
    <w:rsid w:val="004C5D93"/>
    <w:rsid w:val="004C6584"/>
    <w:rsid w:val="004C69FF"/>
    <w:rsid w:val="004C74AA"/>
    <w:rsid w:val="004C78C5"/>
    <w:rsid w:val="004C7C63"/>
    <w:rsid w:val="004D18F8"/>
    <w:rsid w:val="004D28F8"/>
    <w:rsid w:val="004D2EB4"/>
    <w:rsid w:val="004D2FE5"/>
    <w:rsid w:val="004D371A"/>
    <w:rsid w:val="004D55DC"/>
    <w:rsid w:val="004D62EF"/>
    <w:rsid w:val="004D64F6"/>
    <w:rsid w:val="004D7087"/>
    <w:rsid w:val="004D7AB4"/>
    <w:rsid w:val="004E196C"/>
    <w:rsid w:val="004E1F64"/>
    <w:rsid w:val="004E20B4"/>
    <w:rsid w:val="004E4B1C"/>
    <w:rsid w:val="004E6366"/>
    <w:rsid w:val="004E7E7E"/>
    <w:rsid w:val="004F0228"/>
    <w:rsid w:val="004F0FCD"/>
    <w:rsid w:val="004F2A23"/>
    <w:rsid w:val="004F2B1F"/>
    <w:rsid w:val="004F336E"/>
    <w:rsid w:val="004F503A"/>
    <w:rsid w:val="004F511B"/>
    <w:rsid w:val="004F5A39"/>
    <w:rsid w:val="004F654E"/>
    <w:rsid w:val="004F704F"/>
    <w:rsid w:val="004F7C02"/>
    <w:rsid w:val="004F7D96"/>
    <w:rsid w:val="005024FC"/>
    <w:rsid w:val="0050272F"/>
    <w:rsid w:val="0050402C"/>
    <w:rsid w:val="00504418"/>
    <w:rsid w:val="00504647"/>
    <w:rsid w:val="00504755"/>
    <w:rsid w:val="00505917"/>
    <w:rsid w:val="00507009"/>
    <w:rsid w:val="0050708C"/>
    <w:rsid w:val="0050746E"/>
    <w:rsid w:val="00510012"/>
    <w:rsid w:val="00510399"/>
    <w:rsid w:val="00510685"/>
    <w:rsid w:val="005107E3"/>
    <w:rsid w:val="00510FD1"/>
    <w:rsid w:val="0051173C"/>
    <w:rsid w:val="005123F0"/>
    <w:rsid w:val="00513B62"/>
    <w:rsid w:val="005147D8"/>
    <w:rsid w:val="00516E87"/>
    <w:rsid w:val="005172B8"/>
    <w:rsid w:val="00517353"/>
    <w:rsid w:val="00517416"/>
    <w:rsid w:val="00517ABD"/>
    <w:rsid w:val="00520EC2"/>
    <w:rsid w:val="00522E90"/>
    <w:rsid w:val="005241E6"/>
    <w:rsid w:val="005264F2"/>
    <w:rsid w:val="0052755E"/>
    <w:rsid w:val="00527C21"/>
    <w:rsid w:val="0053410D"/>
    <w:rsid w:val="00536828"/>
    <w:rsid w:val="005408BE"/>
    <w:rsid w:val="0054094C"/>
    <w:rsid w:val="00540B68"/>
    <w:rsid w:val="00545FE0"/>
    <w:rsid w:val="00550DCC"/>
    <w:rsid w:val="005518BA"/>
    <w:rsid w:val="00551F87"/>
    <w:rsid w:val="00552427"/>
    <w:rsid w:val="00553568"/>
    <w:rsid w:val="005542C8"/>
    <w:rsid w:val="0055586A"/>
    <w:rsid w:val="00555F98"/>
    <w:rsid w:val="005578FC"/>
    <w:rsid w:val="00560147"/>
    <w:rsid w:val="00561186"/>
    <w:rsid w:val="00561905"/>
    <w:rsid w:val="00562780"/>
    <w:rsid w:val="00564E24"/>
    <w:rsid w:val="00566E92"/>
    <w:rsid w:val="0057133B"/>
    <w:rsid w:val="005723BF"/>
    <w:rsid w:val="00572795"/>
    <w:rsid w:val="00573791"/>
    <w:rsid w:val="00574957"/>
    <w:rsid w:val="005752F0"/>
    <w:rsid w:val="00577227"/>
    <w:rsid w:val="00580976"/>
    <w:rsid w:val="00581806"/>
    <w:rsid w:val="00582B4E"/>
    <w:rsid w:val="00582D39"/>
    <w:rsid w:val="0058301D"/>
    <w:rsid w:val="005841D1"/>
    <w:rsid w:val="00584CEB"/>
    <w:rsid w:val="0058547E"/>
    <w:rsid w:val="0058613F"/>
    <w:rsid w:val="0058629B"/>
    <w:rsid w:val="00586961"/>
    <w:rsid w:val="00587A14"/>
    <w:rsid w:val="00590CB7"/>
    <w:rsid w:val="00591A40"/>
    <w:rsid w:val="00593000"/>
    <w:rsid w:val="00594CD1"/>
    <w:rsid w:val="00594D9F"/>
    <w:rsid w:val="00594EC2"/>
    <w:rsid w:val="00595AAB"/>
    <w:rsid w:val="005967C6"/>
    <w:rsid w:val="005A208E"/>
    <w:rsid w:val="005A3503"/>
    <w:rsid w:val="005A4D21"/>
    <w:rsid w:val="005A54BA"/>
    <w:rsid w:val="005A601F"/>
    <w:rsid w:val="005A64DB"/>
    <w:rsid w:val="005A6A3F"/>
    <w:rsid w:val="005A6C02"/>
    <w:rsid w:val="005B1027"/>
    <w:rsid w:val="005B1CFD"/>
    <w:rsid w:val="005B455A"/>
    <w:rsid w:val="005B5195"/>
    <w:rsid w:val="005B57E9"/>
    <w:rsid w:val="005B59B4"/>
    <w:rsid w:val="005B798B"/>
    <w:rsid w:val="005B7C0E"/>
    <w:rsid w:val="005C19E8"/>
    <w:rsid w:val="005C29E7"/>
    <w:rsid w:val="005C34BC"/>
    <w:rsid w:val="005C456E"/>
    <w:rsid w:val="005C4991"/>
    <w:rsid w:val="005C49F7"/>
    <w:rsid w:val="005C5D06"/>
    <w:rsid w:val="005C7FDB"/>
    <w:rsid w:val="005D1569"/>
    <w:rsid w:val="005D3DEE"/>
    <w:rsid w:val="005D411F"/>
    <w:rsid w:val="005D4AA0"/>
    <w:rsid w:val="005D5397"/>
    <w:rsid w:val="005D63C1"/>
    <w:rsid w:val="005D74E4"/>
    <w:rsid w:val="005D7B40"/>
    <w:rsid w:val="005E0847"/>
    <w:rsid w:val="005E0F41"/>
    <w:rsid w:val="005E134E"/>
    <w:rsid w:val="005E190E"/>
    <w:rsid w:val="005E4C87"/>
    <w:rsid w:val="005E5592"/>
    <w:rsid w:val="005E779F"/>
    <w:rsid w:val="005E79B0"/>
    <w:rsid w:val="005F09E7"/>
    <w:rsid w:val="005F0D66"/>
    <w:rsid w:val="005F1380"/>
    <w:rsid w:val="005F2217"/>
    <w:rsid w:val="005F2342"/>
    <w:rsid w:val="005F2453"/>
    <w:rsid w:val="005F28F1"/>
    <w:rsid w:val="005F29CA"/>
    <w:rsid w:val="005F446E"/>
    <w:rsid w:val="005F579F"/>
    <w:rsid w:val="005F5D3E"/>
    <w:rsid w:val="005F6708"/>
    <w:rsid w:val="005F69CE"/>
    <w:rsid w:val="005F6D36"/>
    <w:rsid w:val="005F7577"/>
    <w:rsid w:val="005F7E0C"/>
    <w:rsid w:val="00602188"/>
    <w:rsid w:val="00603162"/>
    <w:rsid w:val="0060386E"/>
    <w:rsid w:val="006040D8"/>
    <w:rsid w:val="0060798A"/>
    <w:rsid w:val="006079FD"/>
    <w:rsid w:val="0061025D"/>
    <w:rsid w:val="0061088B"/>
    <w:rsid w:val="00610966"/>
    <w:rsid w:val="0061336A"/>
    <w:rsid w:val="0061393E"/>
    <w:rsid w:val="00613A52"/>
    <w:rsid w:val="006158A0"/>
    <w:rsid w:val="00615C5B"/>
    <w:rsid w:val="00615CAD"/>
    <w:rsid w:val="00615F25"/>
    <w:rsid w:val="00616AA9"/>
    <w:rsid w:val="0061700B"/>
    <w:rsid w:val="0061709D"/>
    <w:rsid w:val="006201B6"/>
    <w:rsid w:val="006206CE"/>
    <w:rsid w:val="00622888"/>
    <w:rsid w:val="006241A6"/>
    <w:rsid w:val="006245C3"/>
    <w:rsid w:val="00625C5F"/>
    <w:rsid w:val="00626CD6"/>
    <w:rsid w:val="00626EBE"/>
    <w:rsid w:val="00627238"/>
    <w:rsid w:val="006308A6"/>
    <w:rsid w:val="006321DE"/>
    <w:rsid w:val="0063262C"/>
    <w:rsid w:val="00632C50"/>
    <w:rsid w:val="00632F1B"/>
    <w:rsid w:val="006333D5"/>
    <w:rsid w:val="006340D2"/>
    <w:rsid w:val="00637A61"/>
    <w:rsid w:val="00640D3D"/>
    <w:rsid w:val="006415BA"/>
    <w:rsid w:val="00641F08"/>
    <w:rsid w:val="00647619"/>
    <w:rsid w:val="006518E4"/>
    <w:rsid w:val="006524A5"/>
    <w:rsid w:val="00653840"/>
    <w:rsid w:val="00653AEF"/>
    <w:rsid w:val="00654EF1"/>
    <w:rsid w:val="006550BB"/>
    <w:rsid w:val="006550D3"/>
    <w:rsid w:val="00655469"/>
    <w:rsid w:val="0065758D"/>
    <w:rsid w:val="0066213E"/>
    <w:rsid w:val="006623EC"/>
    <w:rsid w:val="006625A3"/>
    <w:rsid w:val="00662F77"/>
    <w:rsid w:val="0066511A"/>
    <w:rsid w:val="006705FC"/>
    <w:rsid w:val="0067207C"/>
    <w:rsid w:val="00672C1D"/>
    <w:rsid w:val="00672E17"/>
    <w:rsid w:val="006732CA"/>
    <w:rsid w:val="00676201"/>
    <w:rsid w:val="006807A8"/>
    <w:rsid w:val="00680EC3"/>
    <w:rsid w:val="006837BD"/>
    <w:rsid w:val="00683EB8"/>
    <w:rsid w:val="0068437A"/>
    <w:rsid w:val="00687A30"/>
    <w:rsid w:val="00687D11"/>
    <w:rsid w:val="00687EAA"/>
    <w:rsid w:val="00690C37"/>
    <w:rsid w:val="00690F15"/>
    <w:rsid w:val="00691C67"/>
    <w:rsid w:val="00692083"/>
    <w:rsid w:val="00692C20"/>
    <w:rsid w:val="006943D2"/>
    <w:rsid w:val="00695165"/>
    <w:rsid w:val="00695212"/>
    <w:rsid w:val="0069602D"/>
    <w:rsid w:val="006964AD"/>
    <w:rsid w:val="006A01D5"/>
    <w:rsid w:val="006A1216"/>
    <w:rsid w:val="006A1831"/>
    <w:rsid w:val="006A1CCC"/>
    <w:rsid w:val="006A1E33"/>
    <w:rsid w:val="006A1F31"/>
    <w:rsid w:val="006A3775"/>
    <w:rsid w:val="006A42D1"/>
    <w:rsid w:val="006A43D6"/>
    <w:rsid w:val="006A56C9"/>
    <w:rsid w:val="006A672C"/>
    <w:rsid w:val="006A7000"/>
    <w:rsid w:val="006B0642"/>
    <w:rsid w:val="006B0807"/>
    <w:rsid w:val="006B1080"/>
    <w:rsid w:val="006B1D2C"/>
    <w:rsid w:val="006B25FE"/>
    <w:rsid w:val="006B33CC"/>
    <w:rsid w:val="006B7A26"/>
    <w:rsid w:val="006B7DCA"/>
    <w:rsid w:val="006C02EA"/>
    <w:rsid w:val="006C0554"/>
    <w:rsid w:val="006C0FD6"/>
    <w:rsid w:val="006C1333"/>
    <w:rsid w:val="006C15FC"/>
    <w:rsid w:val="006C4280"/>
    <w:rsid w:val="006C449B"/>
    <w:rsid w:val="006C45B0"/>
    <w:rsid w:val="006C4D61"/>
    <w:rsid w:val="006C5E09"/>
    <w:rsid w:val="006C6043"/>
    <w:rsid w:val="006C654C"/>
    <w:rsid w:val="006C6865"/>
    <w:rsid w:val="006C772C"/>
    <w:rsid w:val="006D0880"/>
    <w:rsid w:val="006D2322"/>
    <w:rsid w:val="006D2AC0"/>
    <w:rsid w:val="006D31A9"/>
    <w:rsid w:val="006D3B45"/>
    <w:rsid w:val="006D5878"/>
    <w:rsid w:val="006D6036"/>
    <w:rsid w:val="006E0DB6"/>
    <w:rsid w:val="006E302E"/>
    <w:rsid w:val="006E39D7"/>
    <w:rsid w:val="006E716A"/>
    <w:rsid w:val="006F2A38"/>
    <w:rsid w:val="006F3231"/>
    <w:rsid w:val="006F3F00"/>
    <w:rsid w:val="006F418A"/>
    <w:rsid w:val="006F5824"/>
    <w:rsid w:val="006F704B"/>
    <w:rsid w:val="006F709E"/>
    <w:rsid w:val="00702E04"/>
    <w:rsid w:val="00703C79"/>
    <w:rsid w:val="00703FB3"/>
    <w:rsid w:val="00704A18"/>
    <w:rsid w:val="0070638B"/>
    <w:rsid w:val="00706DEF"/>
    <w:rsid w:val="0071069F"/>
    <w:rsid w:val="0071072E"/>
    <w:rsid w:val="007107A5"/>
    <w:rsid w:val="00710DFD"/>
    <w:rsid w:val="0071145C"/>
    <w:rsid w:val="00711468"/>
    <w:rsid w:val="00711C4C"/>
    <w:rsid w:val="00711C59"/>
    <w:rsid w:val="0071279B"/>
    <w:rsid w:val="00712B4A"/>
    <w:rsid w:val="00712C2A"/>
    <w:rsid w:val="00713367"/>
    <w:rsid w:val="0071386B"/>
    <w:rsid w:val="00714456"/>
    <w:rsid w:val="00717F42"/>
    <w:rsid w:val="0072036C"/>
    <w:rsid w:val="007205E0"/>
    <w:rsid w:val="007220C9"/>
    <w:rsid w:val="00722208"/>
    <w:rsid w:val="00722859"/>
    <w:rsid w:val="00722EA5"/>
    <w:rsid w:val="007249B8"/>
    <w:rsid w:val="00725C24"/>
    <w:rsid w:val="007262AC"/>
    <w:rsid w:val="00726D5B"/>
    <w:rsid w:val="00726E0B"/>
    <w:rsid w:val="007309B9"/>
    <w:rsid w:val="0073120C"/>
    <w:rsid w:val="0073320E"/>
    <w:rsid w:val="00733828"/>
    <w:rsid w:val="00734731"/>
    <w:rsid w:val="007363CB"/>
    <w:rsid w:val="007366A6"/>
    <w:rsid w:val="00740B9B"/>
    <w:rsid w:val="0074483F"/>
    <w:rsid w:val="00746431"/>
    <w:rsid w:val="00746BB3"/>
    <w:rsid w:val="007510B1"/>
    <w:rsid w:val="007525A5"/>
    <w:rsid w:val="00753A68"/>
    <w:rsid w:val="00754576"/>
    <w:rsid w:val="00754F94"/>
    <w:rsid w:val="007554D7"/>
    <w:rsid w:val="007557F4"/>
    <w:rsid w:val="00755DCC"/>
    <w:rsid w:val="00757390"/>
    <w:rsid w:val="007625D2"/>
    <w:rsid w:val="00766932"/>
    <w:rsid w:val="00771EAA"/>
    <w:rsid w:val="00772407"/>
    <w:rsid w:val="00772852"/>
    <w:rsid w:val="00775B57"/>
    <w:rsid w:val="00780240"/>
    <w:rsid w:val="00780FE3"/>
    <w:rsid w:val="007835A5"/>
    <w:rsid w:val="007838B3"/>
    <w:rsid w:val="00786356"/>
    <w:rsid w:val="00786783"/>
    <w:rsid w:val="007875C6"/>
    <w:rsid w:val="007903A8"/>
    <w:rsid w:val="007906BE"/>
    <w:rsid w:val="00791AF9"/>
    <w:rsid w:val="00791B5D"/>
    <w:rsid w:val="007921F1"/>
    <w:rsid w:val="00793E73"/>
    <w:rsid w:val="00794342"/>
    <w:rsid w:val="00794593"/>
    <w:rsid w:val="00794729"/>
    <w:rsid w:val="00795807"/>
    <w:rsid w:val="007959E1"/>
    <w:rsid w:val="007A05D6"/>
    <w:rsid w:val="007A0987"/>
    <w:rsid w:val="007A153E"/>
    <w:rsid w:val="007A1BDA"/>
    <w:rsid w:val="007A2EB5"/>
    <w:rsid w:val="007A32D5"/>
    <w:rsid w:val="007A4BC9"/>
    <w:rsid w:val="007A4BE7"/>
    <w:rsid w:val="007A55A5"/>
    <w:rsid w:val="007A5AB5"/>
    <w:rsid w:val="007A67AD"/>
    <w:rsid w:val="007A6B76"/>
    <w:rsid w:val="007A6FE1"/>
    <w:rsid w:val="007A79C6"/>
    <w:rsid w:val="007A7B58"/>
    <w:rsid w:val="007A7F66"/>
    <w:rsid w:val="007B010F"/>
    <w:rsid w:val="007B0315"/>
    <w:rsid w:val="007B0901"/>
    <w:rsid w:val="007B0DF7"/>
    <w:rsid w:val="007B2582"/>
    <w:rsid w:val="007B2A2B"/>
    <w:rsid w:val="007B5033"/>
    <w:rsid w:val="007B5C0C"/>
    <w:rsid w:val="007B5C22"/>
    <w:rsid w:val="007B691A"/>
    <w:rsid w:val="007B7E14"/>
    <w:rsid w:val="007C0954"/>
    <w:rsid w:val="007C0DD2"/>
    <w:rsid w:val="007C2D07"/>
    <w:rsid w:val="007C2F8A"/>
    <w:rsid w:val="007C3D7F"/>
    <w:rsid w:val="007C4D32"/>
    <w:rsid w:val="007C6D3D"/>
    <w:rsid w:val="007C7475"/>
    <w:rsid w:val="007D0506"/>
    <w:rsid w:val="007D08AC"/>
    <w:rsid w:val="007D278D"/>
    <w:rsid w:val="007D3180"/>
    <w:rsid w:val="007E18CB"/>
    <w:rsid w:val="007E1E36"/>
    <w:rsid w:val="007E2315"/>
    <w:rsid w:val="007E247D"/>
    <w:rsid w:val="007E3BE3"/>
    <w:rsid w:val="007E4A99"/>
    <w:rsid w:val="007E50DA"/>
    <w:rsid w:val="007E5452"/>
    <w:rsid w:val="007E5B5D"/>
    <w:rsid w:val="007E5ECE"/>
    <w:rsid w:val="007E6380"/>
    <w:rsid w:val="007E711D"/>
    <w:rsid w:val="007E7698"/>
    <w:rsid w:val="007E77DE"/>
    <w:rsid w:val="007E7A91"/>
    <w:rsid w:val="007F13D2"/>
    <w:rsid w:val="007F242C"/>
    <w:rsid w:val="007F301B"/>
    <w:rsid w:val="007F37EF"/>
    <w:rsid w:val="007F4C8A"/>
    <w:rsid w:val="007F508E"/>
    <w:rsid w:val="007F52C2"/>
    <w:rsid w:val="007F7CBD"/>
    <w:rsid w:val="008002E6"/>
    <w:rsid w:val="0080241A"/>
    <w:rsid w:val="0080291F"/>
    <w:rsid w:val="00802B2F"/>
    <w:rsid w:val="00802CAE"/>
    <w:rsid w:val="0080342F"/>
    <w:rsid w:val="0080479F"/>
    <w:rsid w:val="00804FB1"/>
    <w:rsid w:val="00805DEB"/>
    <w:rsid w:val="00807EC0"/>
    <w:rsid w:val="008103DE"/>
    <w:rsid w:val="00812A08"/>
    <w:rsid w:val="00813216"/>
    <w:rsid w:val="008134EA"/>
    <w:rsid w:val="008139D3"/>
    <w:rsid w:val="00813B98"/>
    <w:rsid w:val="008150DB"/>
    <w:rsid w:val="008156EE"/>
    <w:rsid w:val="0081607E"/>
    <w:rsid w:val="008160DC"/>
    <w:rsid w:val="00817A6E"/>
    <w:rsid w:val="008210C7"/>
    <w:rsid w:val="00821685"/>
    <w:rsid w:val="00821C2A"/>
    <w:rsid w:val="0082255C"/>
    <w:rsid w:val="00822EC1"/>
    <w:rsid w:val="00823CF3"/>
    <w:rsid w:val="008254B1"/>
    <w:rsid w:val="008254F2"/>
    <w:rsid w:val="00825A00"/>
    <w:rsid w:val="00825BE2"/>
    <w:rsid w:val="00825E8C"/>
    <w:rsid w:val="00826A8B"/>
    <w:rsid w:val="00827448"/>
    <w:rsid w:val="00831461"/>
    <w:rsid w:val="00831801"/>
    <w:rsid w:val="00831BC7"/>
    <w:rsid w:val="00831CA7"/>
    <w:rsid w:val="008333EB"/>
    <w:rsid w:val="00833A9A"/>
    <w:rsid w:val="00833DA9"/>
    <w:rsid w:val="00834482"/>
    <w:rsid w:val="0083518E"/>
    <w:rsid w:val="00835E6F"/>
    <w:rsid w:val="00836DFB"/>
    <w:rsid w:val="0083783E"/>
    <w:rsid w:val="0084029B"/>
    <w:rsid w:val="0084067C"/>
    <w:rsid w:val="0084242A"/>
    <w:rsid w:val="00842DC1"/>
    <w:rsid w:val="0084356C"/>
    <w:rsid w:val="00843D20"/>
    <w:rsid w:val="00844CBA"/>
    <w:rsid w:val="0084647D"/>
    <w:rsid w:val="008475FF"/>
    <w:rsid w:val="00850656"/>
    <w:rsid w:val="0085069A"/>
    <w:rsid w:val="00853CEC"/>
    <w:rsid w:val="008550DC"/>
    <w:rsid w:val="00856521"/>
    <w:rsid w:val="008566D3"/>
    <w:rsid w:val="0085765E"/>
    <w:rsid w:val="00857920"/>
    <w:rsid w:val="00860169"/>
    <w:rsid w:val="00862743"/>
    <w:rsid w:val="0086314E"/>
    <w:rsid w:val="00863311"/>
    <w:rsid w:val="00864010"/>
    <w:rsid w:val="00871489"/>
    <w:rsid w:val="008725DA"/>
    <w:rsid w:val="0087292B"/>
    <w:rsid w:val="00873184"/>
    <w:rsid w:val="0087341E"/>
    <w:rsid w:val="0087557E"/>
    <w:rsid w:val="0087581E"/>
    <w:rsid w:val="0087617F"/>
    <w:rsid w:val="00876E74"/>
    <w:rsid w:val="00877734"/>
    <w:rsid w:val="00877BE7"/>
    <w:rsid w:val="0088069E"/>
    <w:rsid w:val="0088109E"/>
    <w:rsid w:val="00881B08"/>
    <w:rsid w:val="00882098"/>
    <w:rsid w:val="008839FE"/>
    <w:rsid w:val="00883B1E"/>
    <w:rsid w:val="00883C05"/>
    <w:rsid w:val="00883CBF"/>
    <w:rsid w:val="008843FE"/>
    <w:rsid w:val="00884BC4"/>
    <w:rsid w:val="00886748"/>
    <w:rsid w:val="0088734F"/>
    <w:rsid w:val="00887D68"/>
    <w:rsid w:val="00890ADB"/>
    <w:rsid w:val="00891DAD"/>
    <w:rsid w:val="008925C3"/>
    <w:rsid w:val="00892AB4"/>
    <w:rsid w:val="008936D1"/>
    <w:rsid w:val="00893DBF"/>
    <w:rsid w:val="00894840"/>
    <w:rsid w:val="00894BF9"/>
    <w:rsid w:val="00896052"/>
    <w:rsid w:val="008A1E85"/>
    <w:rsid w:val="008A456D"/>
    <w:rsid w:val="008B00F6"/>
    <w:rsid w:val="008B0395"/>
    <w:rsid w:val="008B061B"/>
    <w:rsid w:val="008B10FB"/>
    <w:rsid w:val="008B1C0E"/>
    <w:rsid w:val="008B1F84"/>
    <w:rsid w:val="008B237B"/>
    <w:rsid w:val="008B316B"/>
    <w:rsid w:val="008B328C"/>
    <w:rsid w:val="008B3966"/>
    <w:rsid w:val="008B41CF"/>
    <w:rsid w:val="008B43FE"/>
    <w:rsid w:val="008B6755"/>
    <w:rsid w:val="008C1928"/>
    <w:rsid w:val="008C1E10"/>
    <w:rsid w:val="008C25C3"/>
    <w:rsid w:val="008C2C02"/>
    <w:rsid w:val="008C63AF"/>
    <w:rsid w:val="008C7202"/>
    <w:rsid w:val="008D20E7"/>
    <w:rsid w:val="008D310F"/>
    <w:rsid w:val="008D37C2"/>
    <w:rsid w:val="008D3906"/>
    <w:rsid w:val="008D3A5D"/>
    <w:rsid w:val="008D5648"/>
    <w:rsid w:val="008D5BE9"/>
    <w:rsid w:val="008D6F22"/>
    <w:rsid w:val="008D783F"/>
    <w:rsid w:val="008D7DE1"/>
    <w:rsid w:val="008E0B96"/>
    <w:rsid w:val="008E10BD"/>
    <w:rsid w:val="008E140B"/>
    <w:rsid w:val="008E5C63"/>
    <w:rsid w:val="008E6092"/>
    <w:rsid w:val="008E61A2"/>
    <w:rsid w:val="008E6F40"/>
    <w:rsid w:val="008E7B40"/>
    <w:rsid w:val="008F0871"/>
    <w:rsid w:val="008F0C20"/>
    <w:rsid w:val="008F1654"/>
    <w:rsid w:val="008F1A62"/>
    <w:rsid w:val="008F313A"/>
    <w:rsid w:val="008F3C84"/>
    <w:rsid w:val="008F533B"/>
    <w:rsid w:val="008F571C"/>
    <w:rsid w:val="008F5C4F"/>
    <w:rsid w:val="008F6FED"/>
    <w:rsid w:val="008F7993"/>
    <w:rsid w:val="008F7C87"/>
    <w:rsid w:val="008F7D0A"/>
    <w:rsid w:val="009008B1"/>
    <w:rsid w:val="00901F29"/>
    <w:rsid w:val="00903B53"/>
    <w:rsid w:val="009048C6"/>
    <w:rsid w:val="009062D8"/>
    <w:rsid w:val="00911511"/>
    <w:rsid w:val="00911A06"/>
    <w:rsid w:val="00912A3B"/>
    <w:rsid w:val="00912CE1"/>
    <w:rsid w:val="009138CD"/>
    <w:rsid w:val="00913D92"/>
    <w:rsid w:val="009142A3"/>
    <w:rsid w:val="009159B9"/>
    <w:rsid w:val="00917921"/>
    <w:rsid w:val="00917C97"/>
    <w:rsid w:val="00920328"/>
    <w:rsid w:val="00920CA2"/>
    <w:rsid w:val="00921CD0"/>
    <w:rsid w:val="0092257A"/>
    <w:rsid w:val="0092268C"/>
    <w:rsid w:val="0092319E"/>
    <w:rsid w:val="00923889"/>
    <w:rsid w:val="009244AF"/>
    <w:rsid w:val="00924BDC"/>
    <w:rsid w:val="00924EE1"/>
    <w:rsid w:val="0092517C"/>
    <w:rsid w:val="0092649A"/>
    <w:rsid w:val="00927EAF"/>
    <w:rsid w:val="00930080"/>
    <w:rsid w:val="00930222"/>
    <w:rsid w:val="009303FB"/>
    <w:rsid w:val="00930F03"/>
    <w:rsid w:val="00931F2C"/>
    <w:rsid w:val="00934957"/>
    <w:rsid w:val="00934E90"/>
    <w:rsid w:val="0093533D"/>
    <w:rsid w:val="00935C9D"/>
    <w:rsid w:val="00935D09"/>
    <w:rsid w:val="00936084"/>
    <w:rsid w:val="009366BB"/>
    <w:rsid w:val="00937454"/>
    <w:rsid w:val="009411DF"/>
    <w:rsid w:val="009419B2"/>
    <w:rsid w:val="00941AF3"/>
    <w:rsid w:val="00942B32"/>
    <w:rsid w:val="00942C1E"/>
    <w:rsid w:val="00942C82"/>
    <w:rsid w:val="009440C7"/>
    <w:rsid w:val="00944D3B"/>
    <w:rsid w:val="00946108"/>
    <w:rsid w:val="00946670"/>
    <w:rsid w:val="0094774B"/>
    <w:rsid w:val="00950FFC"/>
    <w:rsid w:val="0095155D"/>
    <w:rsid w:val="009517B2"/>
    <w:rsid w:val="00951C48"/>
    <w:rsid w:val="00951CB8"/>
    <w:rsid w:val="0095271A"/>
    <w:rsid w:val="0095360B"/>
    <w:rsid w:val="00955F1B"/>
    <w:rsid w:val="009565B1"/>
    <w:rsid w:val="009601D9"/>
    <w:rsid w:val="00961AE0"/>
    <w:rsid w:val="00961C7E"/>
    <w:rsid w:val="00962CC1"/>
    <w:rsid w:val="009659EB"/>
    <w:rsid w:val="00965D6B"/>
    <w:rsid w:val="009663F1"/>
    <w:rsid w:val="00966440"/>
    <w:rsid w:val="00966A64"/>
    <w:rsid w:val="00966BB1"/>
    <w:rsid w:val="00966CA0"/>
    <w:rsid w:val="009670DA"/>
    <w:rsid w:val="00967BD3"/>
    <w:rsid w:val="009705EB"/>
    <w:rsid w:val="009720B2"/>
    <w:rsid w:val="00974301"/>
    <w:rsid w:val="00976928"/>
    <w:rsid w:val="00980E16"/>
    <w:rsid w:val="009835B9"/>
    <w:rsid w:val="0098391F"/>
    <w:rsid w:val="00987802"/>
    <w:rsid w:val="0099006B"/>
    <w:rsid w:val="00991456"/>
    <w:rsid w:val="00991BCC"/>
    <w:rsid w:val="0099578D"/>
    <w:rsid w:val="00996AE8"/>
    <w:rsid w:val="009A0A72"/>
    <w:rsid w:val="009A243D"/>
    <w:rsid w:val="009A2E16"/>
    <w:rsid w:val="009A3D81"/>
    <w:rsid w:val="009A5857"/>
    <w:rsid w:val="009A5BFC"/>
    <w:rsid w:val="009A5E97"/>
    <w:rsid w:val="009A6405"/>
    <w:rsid w:val="009A6F1A"/>
    <w:rsid w:val="009B1E04"/>
    <w:rsid w:val="009B2142"/>
    <w:rsid w:val="009B3658"/>
    <w:rsid w:val="009B39F5"/>
    <w:rsid w:val="009B3C4D"/>
    <w:rsid w:val="009B4590"/>
    <w:rsid w:val="009B49F1"/>
    <w:rsid w:val="009B4B4B"/>
    <w:rsid w:val="009B4CC7"/>
    <w:rsid w:val="009B5BDB"/>
    <w:rsid w:val="009B5D03"/>
    <w:rsid w:val="009B5E02"/>
    <w:rsid w:val="009B6405"/>
    <w:rsid w:val="009C0F03"/>
    <w:rsid w:val="009C5936"/>
    <w:rsid w:val="009C60B8"/>
    <w:rsid w:val="009C6AC6"/>
    <w:rsid w:val="009C6D2C"/>
    <w:rsid w:val="009C731B"/>
    <w:rsid w:val="009C74AE"/>
    <w:rsid w:val="009D0D6A"/>
    <w:rsid w:val="009D0D89"/>
    <w:rsid w:val="009D127E"/>
    <w:rsid w:val="009D24C1"/>
    <w:rsid w:val="009D3134"/>
    <w:rsid w:val="009D3542"/>
    <w:rsid w:val="009D5ABB"/>
    <w:rsid w:val="009D6071"/>
    <w:rsid w:val="009D7CF5"/>
    <w:rsid w:val="009E042E"/>
    <w:rsid w:val="009E1132"/>
    <w:rsid w:val="009E41CE"/>
    <w:rsid w:val="009E456D"/>
    <w:rsid w:val="009E502E"/>
    <w:rsid w:val="009E62A4"/>
    <w:rsid w:val="009E71FF"/>
    <w:rsid w:val="009E725D"/>
    <w:rsid w:val="009E764D"/>
    <w:rsid w:val="009F0658"/>
    <w:rsid w:val="009F2C73"/>
    <w:rsid w:val="009F450F"/>
    <w:rsid w:val="009F6A72"/>
    <w:rsid w:val="009F7252"/>
    <w:rsid w:val="00A00507"/>
    <w:rsid w:val="00A007A0"/>
    <w:rsid w:val="00A0159E"/>
    <w:rsid w:val="00A022AB"/>
    <w:rsid w:val="00A03870"/>
    <w:rsid w:val="00A04771"/>
    <w:rsid w:val="00A04C07"/>
    <w:rsid w:val="00A05228"/>
    <w:rsid w:val="00A05524"/>
    <w:rsid w:val="00A0564C"/>
    <w:rsid w:val="00A061C2"/>
    <w:rsid w:val="00A062FF"/>
    <w:rsid w:val="00A06418"/>
    <w:rsid w:val="00A07624"/>
    <w:rsid w:val="00A109F2"/>
    <w:rsid w:val="00A11C9C"/>
    <w:rsid w:val="00A11CC0"/>
    <w:rsid w:val="00A130BA"/>
    <w:rsid w:val="00A132C5"/>
    <w:rsid w:val="00A15165"/>
    <w:rsid w:val="00A151FE"/>
    <w:rsid w:val="00A153B2"/>
    <w:rsid w:val="00A156EE"/>
    <w:rsid w:val="00A15A3D"/>
    <w:rsid w:val="00A17617"/>
    <w:rsid w:val="00A17910"/>
    <w:rsid w:val="00A17F7B"/>
    <w:rsid w:val="00A20C5F"/>
    <w:rsid w:val="00A20D86"/>
    <w:rsid w:val="00A215E1"/>
    <w:rsid w:val="00A22A04"/>
    <w:rsid w:val="00A22D7D"/>
    <w:rsid w:val="00A23C9D"/>
    <w:rsid w:val="00A23DC3"/>
    <w:rsid w:val="00A254F5"/>
    <w:rsid w:val="00A25D2A"/>
    <w:rsid w:val="00A26168"/>
    <w:rsid w:val="00A2637F"/>
    <w:rsid w:val="00A27816"/>
    <w:rsid w:val="00A27942"/>
    <w:rsid w:val="00A27A0F"/>
    <w:rsid w:val="00A305D9"/>
    <w:rsid w:val="00A305FE"/>
    <w:rsid w:val="00A30740"/>
    <w:rsid w:val="00A31934"/>
    <w:rsid w:val="00A34A2C"/>
    <w:rsid w:val="00A34B56"/>
    <w:rsid w:val="00A351ED"/>
    <w:rsid w:val="00A36E96"/>
    <w:rsid w:val="00A36EE9"/>
    <w:rsid w:val="00A414A8"/>
    <w:rsid w:val="00A42193"/>
    <w:rsid w:val="00A42441"/>
    <w:rsid w:val="00A42446"/>
    <w:rsid w:val="00A4476D"/>
    <w:rsid w:val="00A4607E"/>
    <w:rsid w:val="00A47FF6"/>
    <w:rsid w:val="00A50792"/>
    <w:rsid w:val="00A51772"/>
    <w:rsid w:val="00A52487"/>
    <w:rsid w:val="00A52864"/>
    <w:rsid w:val="00A52E9B"/>
    <w:rsid w:val="00A532D2"/>
    <w:rsid w:val="00A54E62"/>
    <w:rsid w:val="00A57909"/>
    <w:rsid w:val="00A57A93"/>
    <w:rsid w:val="00A60212"/>
    <w:rsid w:val="00A60C34"/>
    <w:rsid w:val="00A615D2"/>
    <w:rsid w:val="00A61609"/>
    <w:rsid w:val="00A62716"/>
    <w:rsid w:val="00A6276B"/>
    <w:rsid w:val="00A637C4"/>
    <w:rsid w:val="00A70111"/>
    <w:rsid w:val="00A704C2"/>
    <w:rsid w:val="00A705A5"/>
    <w:rsid w:val="00A71AD9"/>
    <w:rsid w:val="00A72C18"/>
    <w:rsid w:val="00A73F15"/>
    <w:rsid w:val="00A75004"/>
    <w:rsid w:val="00A75A21"/>
    <w:rsid w:val="00A76099"/>
    <w:rsid w:val="00A76C11"/>
    <w:rsid w:val="00A77573"/>
    <w:rsid w:val="00A826A5"/>
    <w:rsid w:val="00A82968"/>
    <w:rsid w:val="00A82F13"/>
    <w:rsid w:val="00A8490B"/>
    <w:rsid w:val="00A84AEF"/>
    <w:rsid w:val="00A850CA"/>
    <w:rsid w:val="00A86673"/>
    <w:rsid w:val="00A86AA8"/>
    <w:rsid w:val="00A86B67"/>
    <w:rsid w:val="00A86C62"/>
    <w:rsid w:val="00A870E9"/>
    <w:rsid w:val="00A90474"/>
    <w:rsid w:val="00A90685"/>
    <w:rsid w:val="00A909A0"/>
    <w:rsid w:val="00A914F1"/>
    <w:rsid w:val="00A938D4"/>
    <w:rsid w:val="00A94AF3"/>
    <w:rsid w:val="00A95363"/>
    <w:rsid w:val="00A95D1E"/>
    <w:rsid w:val="00A97583"/>
    <w:rsid w:val="00A9760A"/>
    <w:rsid w:val="00A9766A"/>
    <w:rsid w:val="00AA0338"/>
    <w:rsid w:val="00AA180F"/>
    <w:rsid w:val="00AA1D18"/>
    <w:rsid w:val="00AA29BE"/>
    <w:rsid w:val="00AA2A39"/>
    <w:rsid w:val="00AA2E3F"/>
    <w:rsid w:val="00AA36DB"/>
    <w:rsid w:val="00AA4EC7"/>
    <w:rsid w:val="00AA5278"/>
    <w:rsid w:val="00AA534F"/>
    <w:rsid w:val="00AA6B4A"/>
    <w:rsid w:val="00AB075E"/>
    <w:rsid w:val="00AB085F"/>
    <w:rsid w:val="00AB1248"/>
    <w:rsid w:val="00AB2614"/>
    <w:rsid w:val="00AB3369"/>
    <w:rsid w:val="00AB4B19"/>
    <w:rsid w:val="00AB604C"/>
    <w:rsid w:val="00AB7757"/>
    <w:rsid w:val="00AB78AB"/>
    <w:rsid w:val="00AC080B"/>
    <w:rsid w:val="00AC1AF0"/>
    <w:rsid w:val="00AC46CE"/>
    <w:rsid w:val="00AC4C73"/>
    <w:rsid w:val="00AC5C66"/>
    <w:rsid w:val="00AC6A7F"/>
    <w:rsid w:val="00AC702E"/>
    <w:rsid w:val="00AC723C"/>
    <w:rsid w:val="00AD0151"/>
    <w:rsid w:val="00AD07F6"/>
    <w:rsid w:val="00AD12DB"/>
    <w:rsid w:val="00AD25A2"/>
    <w:rsid w:val="00AD288B"/>
    <w:rsid w:val="00AD39BC"/>
    <w:rsid w:val="00AD5858"/>
    <w:rsid w:val="00AD5F4D"/>
    <w:rsid w:val="00AD6055"/>
    <w:rsid w:val="00AD62EA"/>
    <w:rsid w:val="00AE02AD"/>
    <w:rsid w:val="00AE1A90"/>
    <w:rsid w:val="00AE1C6F"/>
    <w:rsid w:val="00AE2081"/>
    <w:rsid w:val="00AE3021"/>
    <w:rsid w:val="00AE3A45"/>
    <w:rsid w:val="00AE6D73"/>
    <w:rsid w:val="00AE708B"/>
    <w:rsid w:val="00AE775D"/>
    <w:rsid w:val="00AE7A1F"/>
    <w:rsid w:val="00AE7DED"/>
    <w:rsid w:val="00AF0F16"/>
    <w:rsid w:val="00AF26DE"/>
    <w:rsid w:val="00AF2B0C"/>
    <w:rsid w:val="00AF61F9"/>
    <w:rsid w:val="00AF659C"/>
    <w:rsid w:val="00AF6A05"/>
    <w:rsid w:val="00AF7E4E"/>
    <w:rsid w:val="00B00222"/>
    <w:rsid w:val="00B00455"/>
    <w:rsid w:val="00B00C42"/>
    <w:rsid w:val="00B01306"/>
    <w:rsid w:val="00B03E08"/>
    <w:rsid w:val="00B045C8"/>
    <w:rsid w:val="00B05763"/>
    <w:rsid w:val="00B06331"/>
    <w:rsid w:val="00B06BFC"/>
    <w:rsid w:val="00B11A62"/>
    <w:rsid w:val="00B11C82"/>
    <w:rsid w:val="00B1220E"/>
    <w:rsid w:val="00B15486"/>
    <w:rsid w:val="00B15677"/>
    <w:rsid w:val="00B159FC"/>
    <w:rsid w:val="00B1674F"/>
    <w:rsid w:val="00B203B5"/>
    <w:rsid w:val="00B2190A"/>
    <w:rsid w:val="00B2237B"/>
    <w:rsid w:val="00B22B60"/>
    <w:rsid w:val="00B25016"/>
    <w:rsid w:val="00B2550A"/>
    <w:rsid w:val="00B27DB0"/>
    <w:rsid w:val="00B30D42"/>
    <w:rsid w:val="00B31322"/>
    <w:rsid w:val="00B33A7D"/>
    <w:rsid w:val="00B34DD0"/>
    <w:rsid w:val="00B35027"/>
    <w:rsid w:val="00B3757C"/>
    <w:rsid w:val="00B376E5"/>
    <w:rsid w:val="00B40124"/>
    <w:rsid w:val="00B42940"/>
    <w:rsid w:val="00B43623"/>
    <w:rsid w:val="00B459FD"/>
    <w:rsid w:val="00B45C29"/>
    <w:rsid w:val="00B46515"/>
    <w:rsid w:val="00B471D7"/>
    <w:rsid w:val="00B478AC"/>
    <w:rsid w:val="00B47F4F"/>
    <w:rsid w:val="00B50627"/>
    <w:rsid w:val="00B508E8"/>
    <w:rsid w:val="00B50B6E"/>
    <w:rsid w:val="00B50E4F"/>
    <w:rsid w:val="00B510C3"/>
    <w:rsid w:val="00B51310"/>
    <w:rsid w:val="00B5148B"/>
    <w:rsid w:val="00B51888"/>
    <w:rsid w:val="00B558B6"/>
    <w:rsid w:val="00B55C70"/>
    <w:rsid w:val="00B56CFF"/>
    <w:rsid w:val="00B60A35"/>
    <w:rsid w:val="00B61E9D"/>
    <w:rsid w:val="00B62252"/>
    <w:rsid w:val="00B62AC2"/>
    <w:rsid w:val="00B64DBB"/>
    <w:rsid w:val="00B66391"/>
    <w:rsid w:val="00B67AEF"/>
    <w:rsid w:val="00B67D07"/>
    <w:rsid w:val="00B70532"/>
    <w:rsid w:val="00B70E23"/>
    <w:rsid w:val="00B71857"/>
    <w:rsid w:val="00B72A18"/>
    <w:rsid w:val="00B74773"/>
    <w:rsid w:val="00B7496B"/>
    <w:rsid w:val="00B74A80"/>
    <w:rsid w:val="00B74F82"/>
    <w:rsid w:val="00B7514E"/>
    <w:rsid w:val="00B76F90"/>
    <w:rsid w:val="00B77D7B"/>
    <w:rsid w:val="00B82941"/>
    <w:rsid w:val="00B84005"/>
    <w:rsid w:val="00B85F0E"/>
    <w:rsid w:val="00B90057"/>
    <w:rsid w:val="00B900CC"/>
    <w:rsid w:val="00B90362"/>
    <w:rsid w:val="00B91B8F"/>
    <w:rsid w:val="00B920C7"/>
    <w:rsid w:val="00B93733"/>
    <w:rsid w:val="00B9506E"/>
    <w:rsid w:val="00B96A7D"/>
    <w:rsid w:val="00BA0706"/>
    <w:rsid w:val="00BA1F62"/>
    <w:rsid w:val="00BA3666"/>
    <w:rsid w:val="00BA3EBC"/>
    <w:rsid w:val="00BA4CDF"/>
    <w:rsid w:val="00BA654C"/>
    <w:rsid w:val="00BA710F"/>
    <w:rsid w:val="00BA7940"/>
    <w:rsid w:val="00BA7B56"/>
    <w:rsid w:val="00BB005D"/>
    <w:rsid w:val="00BB0826"/>
    <w:rsid w:val="00BB1594"/>
    <w:rsid w:val="00BB1D30"/>
    <w:rsid w:val="00BB5AAE"/>
    <w:rsid w:val="00BB6A7C"/>
    <w:rsid w:val="00BB6CA9"/>
    <w:rsid w:val="00BB79AA"/>
    <w:rsid w:val="00BB7B89"/>
    <w:rsid w:val="00BC0577"/>
    <w:rsid w:val="00BC118B"/>
    <w:rsid w:val="00BC1959"/>
    <w:rsid w:val="00BC2ECC"/>
    <w:rsid w:val="00BC3554"/>
    <w:rsid w:val="00BC534E"/>
    <w:rsid w:val="00BC599B"/>
    <w:rsid w:val="00BC6AA9"/>
    <w:rsid w:val="00BC6BB4"/>
    <w:rsid w:val="00BD1DB3"/>
    <w:rsid w:val="00BD2494"/>
    <w:rsid w:val="00BD4984"/>
    <w:rsid w:val="00BD4F76"/>
    <w:rsid w:val="00BD6E5D"/>
    <w:rsid w:val="00BD73EC"/>
    <w:rsid w:val="00BD7C01"/>
    <w:rsid w:val="00BE0D3A"/>
    <w:rsid w:val="00BE188B"/>
    <w:rsid w:val="00BE18F1"/>
    <w:rsid w:val="00BE5C07"/>
    <w:rsid w:val="00BE5E05"/>
    <w:rsid w:val="00BF2D37"/>
    <w:rsid w:val="00BF31AD"/>
    <w:rsid w:val="00BF3D42"/>
    <w:rsid w:val="00BF4C9A"/>
    <w:rsid w:val="00BF6D6B"/>
    <w:rsid w:val="00BF7731"/>
    <w:rsid w:val="00C0096A"/>
    <w:rsid w:val="00C01356"/>
    <w:rsid w:val="00C0330D"/>
    <w:rsid w:val="00C0496C"/>
    <w:rsid w:val="00C05D38"/>
    <w:rsid w:val="00C062A2"/>
    <w:rsid w:val="00C063EE"/>
    <w:rsid w:val="00C133F8"/>
    <w:rsid w:val="00C13C9B"/>
    <w:rsid w:val="00C14D1E"/>
    <w:rsid w:val="00C15F49"/>
    <w:rsid w:val="00C1608F"/>
    <w:rsid w:val="00C163DD"/>
    <w:rsid w:val="00C20443"/>
    <w:rsid w:val="00C21FD5"/>
    <w:rsid w:val="00C2273D"/>
    <w:rsid w:val="00C22914"/>
    <w:rsid w:val="00C23EFB"/>
    <w:rsid w:val="00C24665"/>
    <w:rsid w:val="00C26121"/>
    <w:rsid w:val="00C262E8"/>
    <w:rsid w:val="00C26C68"/>
    <w:rsid w:val="00C27049"/>
    <w:rsid w:val="00C27363"/>
    <w:rsid w:val="00C276BB"/>
    <w:rsid w:val="00C320A3"/>
    <w:rsid w:val="00C322AE"/>
    <w:rsid w:val="00C32B8C"/>
    <w:rsid w:val="00C32F7C"/>
    <w:rsid w:val="00C33ED1"/>
    <w:rsid w:val="00C340E2"/>
    <w:rsid w:val="00C34FDB"/>
    <w:rsid w:val="00C405AA"/>
    <w:rsid w:val="00C41E30"/>
    <w:rsid w:val="00C42143"/>
    <w:rsid w:val="00C436A3"/>
    <w:rsid w:val="00C4378F"/>
    <w:rsid w:val="00C439DD"/>
    <w:rsid w:val="00C444BE"/>
    <w:rsid w:val="00C444DB"/>
    <w:rsid w:val="00C45EBC"/>
    <w:rsid w:val="00C46093"/>
    <w:rsid w:val="00C46EB7"/>
    <w:rsid w:val="00C46F3C"/>
    <w:rsid w:val="00C50489"/>
    <w:rsid w:val="00C5110D"/>
    <w:rsid w:val="00C517B2"/>
    <w:rsid w:val="00C52648"/>
    <w:rsid w:val="00C52964"/>
    <w:rsid w:val="00C53D5B"/>
    <w:rsid w:val="00C55B89"/>
    <w:rsid w:val="00C56C5E"/>
    <w:rsid w:val="00C56D11"/>
    <w:rsid w:val="00C60C90"/>
    <w:rsid w:val="00C622CD"/>
    <w:rsid w:val="00C63039"/>
    <w:rsid w:val="00C630BF"/>
    <w:rsid w:val="00C63A02"/>
    <w:rsid w:val="00C64138"/>
    <w:rsid w:val="00C64D18"/>
    <w:rsid w:val="00C65E55"/>
    <w:rsid w:val="00C66BD7"/>
    <w:rsid w:val="00C67539"/>
    <w:rsid w:val="00C67A5B"/>
    <w:rsid w:val="00C67A9C"/>
    <w:rsid w:val="00C70450"/>
    <w:rsid w:val="00C704E2"/>
    <w:rsid w:val="00C7099D"/>
    <w:rsid w:val="00C71714"/>
    <w:rsid w:val="00C7190C"/>
    <w:rsid w:val="00C72735"/>
    <w:rsid w:val="00C72DBB"/>
    <w:rsid w:val="00C735D1"/>
    <w:rsid w:val="00C7504B"/>
    <w:rsid w:val="00C75101"/>
    <w:rsid w:val="00C75F53"/>
    <w:rsid w:val="00C8072E"/>
    <w:rsid w:val="00C80F91"/>
    <w:rsid w:val="00C8169E"/>
    <w:rsid w:val="00C82FAA"/>
    <w:rsid w:val="00C8398C"/>
    <w:rsid w:val="00C84E52"/>
    <w:rsid w:val="00C86D79"/>
    <w:rsid w:val="00C8718A"/>
    <w:rsid w:val="00C873CE"/>
    <w:rsid w:val="00C87A21"/>
    <w:rsid w:val="00C90736"/>
    <w:rsid w:val="00C90AA8"/>
    <w:rsid w:val="00C917CE"/>
    <w:rsid w:val="00C91914"/>
    <w:rsid w:val="00C9412C"/>
    <w:rsid w:val="00C946A8"/>
    <w:rsid w:val="00C959E4"/>
    <w:rsid w:val="00C96281"/>
    <w:rsid w:val="00C969B7"/>
    <w:rsid w:val="00C96D1B"/>
    <w:rsid w:val="00CA0B80"/>
    <w:rsid w:val="00CA1A3C"/>
    <w:rsid w:val="00CA2424"/>
    <w:rsid w:val="00CA2FE1"/>
    <w:rsid w:val="00CA3173"/>
    <w:rsid w:val="00CA338B"/>
    <w:rsid w:val="00CA3A78"/>
    <w:rsid w:val="00CA3DEB"/>
    <w:rsid w:val="00CA4676"/>
    <w:rsid w:val="00CA519B"/>
    <w:rsid w:val="00CA5E87"/>
    <w:rsid w:val="00CA6835"/>
    <w:rsid w:val="00CA6D87"/>
    <w:rsid w:val="00CA6EB0"/>
    <w:rsid w:val="00CB14A1"/>
    <w:rsid w:val="00CB36CB"/>
    <w:rsid w:val="00CB48AB"/>
    <w:rsid w:val="00CB55EE"/>
    <w:rsid w:val="00CB5A37"/>
    <w:rsid w:val="00CB5E37"/>
    <w:rsid w:val="00CB69CF"/>
    <w:rsid w:val="00CC17DB"/>
    <w:rsid w:val="00CC2E13"/>
    <w:rsid w:val="00CC3189"/>
    <w:rsid w:val="00CC36E0"/>
    <w:rsid w:val="00CC4155"/>
    <w:rsid w:val="00CC5721"/>
    <w:rsid w:val="00CC5B6E"/>
    <w:rsid w:val="00CC5E3D"/>
    <w:rsid w:val="00CC623B"/>
    <w:rsid w:val="00CC627A"/>
    <w:rsid w:val="00CC7110"/>
    <w:rsid w:val="00CD558B"/>
    <w:rsid w:val="00CD6D09"/>
    <w:rsid w:val="00CD7110"/>
    <w:rsid w:val="00CD74A6"/>
    <w:rsid w:val="00CD7BB4"/>
    <w:rsid w:val="00CE01A4"/>
    <w:rsid w:val="00CE1854"/>
    <w:rsid w:val="00CE26C3"/>
    <w:rsid w:val="00CE2974"/>
    <w:rsid w:val="00CE32FD"/>
    <w:rsid w:val="00CE3772"/>
    <w:rsid w:val="00CE50A7"/>
    <w:rsid w:val="00CE6CDB"/>
    <w:rsid w:val="00CF151F"/>
    <w:rsid w:val="00CF1555"/>
    <w:rsid w:val="00CF231D"/>
    <w:rsid w:val="00CF44B9"/>
    <w:rsid w:val="00CF4A12"/>
    <w:rsid w:val="00CF543A"/>
    <w:rsid w:val="00CF54C4"/>
    <w:rsid w:val="00CF5D5C"/>
    <w:rsid w:val="00CF6106"/>
    <w:rsid w:val="00CF691D"/>
    <w:rsid w:val="00CF7061"/>
    <w:rsid w:val="00CF7CBB"/>
    <w:rsid w:val="00D008AF"/>
    <w:rsid w:val="00D00C5E"/>
    <w:rsid w:val="00D032A3"/>
    <w:rsid w:val="00D0425F"/>
    <w:rsid w:val="00D04D9B"/>
    <w:rsid w:val="00D0626D"/>
    <w:rsid w:val="00D06375"/>
    <w:rsid w:val="00D06B7E"/>
    <w:rsid w:val="00D075A0"/>
    <w:rsid w:val="00D1025A"/>
    <w:rsid w:val="00D105EE"/>
    <w:rsid w:val="00D12D50"/>
    <w:rsid w:val="00D138A8"/>
    <w:rsid w:val="00D146E6"/>
    <w:rsid w:val="00D14DAC"/>
    <w:rsid w:val="00D14E0E"/>
    <w:rsid w:val="00D1668A"/>
    <w:rsid w:val="00D16D2E"/>
    <w:rsid w:val="00D16E0D"/>
    <w:rsid w:val="00D173C4"/>
    <w:rsid w:val="00D20284"/>
    <w:rsid w:val="00D20B78"/>
    <w:rsid w:val="00D22A89"/>
    <w:rsid w:val="00D2327B"/>
    <w:rsid w:val="00D23517"/>
    <w:rsid w:val="00D2379E"/>
    <w:rsid w:val="00D246FD"/>
    <w:rsid w:val="00D24E11"/>
    <w:rsid w:val="00D2524D"/>
    <w:rsid w:val="00D2674D"/>
    <w:rsid w:val="00D26783"/>
    <w:rsid w:val="00D2781F"/>
    <w:rsid w:val="00D30B33"/>
    <w:rsid w:val="00D31019"/>
    <w:rsid w:val="00D32624"/>
    <w:rsid w:val="00D33000"/>
    <w:rsid w:val="00D33A9C"/>
    <w:rsid w:val="00D34573"/>
    <w:rsid w:val="00D350A6"/>
    <w:rsid w:val="00D359D3"/>
    <w:rsid w:val="00D36FAA"/>
    <w:rsid w:val="00D3729A"/>
    <w:rsid w:val="00D40A4E"/>
    <w:rsid w:val="00D4153D"/>
    <w:rsid w:val="00D42344"/>
    <w:rsid w:val="00D442CD"/>
    <w:rsid w:val="00D451D1"/>
    <w:rsid w:val="00D46C2A"/>
    <w:rsid w:val="00D46CC5"/>
    <w:rsid w:val="00D46CFD"/>
    <w:rsid w:val="00D508B7"/>
    <w:rsid w:val="00D51030"/>
    <w:rsid w:val="00D524AD"/>
    <w:rsid w:val="00D524F7"/>
    <w:rsid w:val="00D53734"/>
    <w:rsid w:val="00D548DE"/>
    <w:rsid w:val="00D55312"/>
    <w:rsid w:val="00D55655"/>
    <w:rsid w:val="00D5681F"/>
    <w:rsid w:val="00D57161"/>
    <w:rsid w:val="00D60DB8"/>
    <w:rsid w:val="00D629C9"/>
    <w:rsid w:val="00D62E0B"/>
    <w:rsid w:val="00D64CBF"/>
    <w:rsid w:val="00D660BB"/>
    <w:rsid w:val="00D66BA5"/>
    <w:rsid w:val="00D66D42"/>
    <w:rsid w:val="00D70170"/>
    <w:rsid w:val="00D706E8"/>
    <w:rsid w:val="00D707C9"/>
    <w:rsid w:val="00D71D81"/>
    <w:rsid w:val="00D721A0"/>
    <w:rsid w:val="00D72F12"/>
    <w:rsid w:val="00D7342A"/>
    <w:rsid w:val="00D75DF3"/>
    <w:rsid w:val="00D81D2B"/>
    <w:rsid w:val="00D81D3E"/>
    <w:rsid w:val="00D8281B"/>
    <w:rsid w:val="00D82A91"/>
    <w:rsid w:val="00D83E5B"/>
    <w:rsid w:val="00D851E5"/>
    <w:rsid w:val="00D852B4"/>
    <w:rsid w:val="00D8538F"/>
    <w:rsid w:val="00D85B4C"/>
    <w:rsid w:val="00D85D84"/>
    <w:rsid w:val="00D86925"/>
    <w:rsid w:val="00D86F17"/>
    <w:rsid w:val="00D90B1B"/>
    <w:rsid w:val="00D91ED7"/>
    <w:rsid w:val="00D933E4"/>
    <w:rsid w:val="00D9381B"/>
    <w:rsid w:val="00D96439"/>
    <w:rsid w:val="00D96F4D"/>
    <w:rsid w:val="00DA05A5"/>
    <w:rsid w:val="00DA0831"/>
    <w:rsid w:val="00DA0978"/>
    <w:rsid w:val="00DA0A1F"/>
    <w:rsid w:val="00DA171D"/>
    <w:rsid w:val="00DA266A"/>
    <w:rsid w:val="00DA44B2"/>
    <w:rsid w:val="00DA4BCE"/>
    <w:rsid w:val="00DA56AB"/>
    <w:rsid w:val="00DA5E0C"/>
    <w:rsid w:val="00DA7E49"/>
    <w:rsid w:val="00DB0D3B"/>
    <w:rsid w:val="00DB23A3"/>
    <w:rsid w:val="00DB2ABD"/>
    <w:rsid w:val="00DB43B1"/>
    <w:rsid w:val="00DB6449"/>
    <w:rsid w:val="00DB65CF"/>
    <w:rsid w:val="00DB6723"/>
    <w:rsid w:val="00DB6CA5"/>
    <w:rsid w:val="00DB6DB4"/>
    <w:rsid w:val="00DC02BD"/>
    <w:rsid w:val="00DC0D51"/>
    <w:rsid w:val="00DC1780"/>
    <w:rsid w:val="00DC2A89"/>
    <w:rsid w:val="00DC37EF"/>
    <w:rsid w:val="00DC5A3A"/>
    <w:rsid w:val="00DC6315"/>
    <w:rsid w:val="00DC6ED6"/>
    <w:rsid w:val="00DC755D"/>
    <w:rsid w:val="00DC7732"/>
    <w:rsid w:val="00DD021E"/>
    <w:rsid w:val="00DD037B"/>
    <w:rsid w:val="00DD046B"/>
    <w:rsid w:val="00DD1578"/>
    <w:rsid w:val="00DD1611"/>
    <w:rsid w:val="00DD1C21"/>
    <w:rsid w:val="00DD2E49"/>
    <w:rsid w:val="00DD300C"/>
    <w:rsid w:val="00DD353A"/>
    <w:rsid w:val="00DD4287"/>
    <w:rsid w:val="00DD4855"/>
    <w:rsid w:val="00DD61D7"/>
    <w:rsid w:val="00DD6339"/>
    <w:rsid w:val="00DE1999"/>
    <w:rsid w:val="00DE1CA4"/>
    <w:rsid w:val="00DE2E08"/>
    <w:rsid w:val="00DE3633"/>
    <w:rsid w:val="00DE3B57"/>
    <w:rsid w:val="00DE440A"/>
    <w:rsid w:val="00DE4592"/>
    <w:rsid w:val="00DE4782"/>
    <w:rsid w:val="00DE49E0"/>
    <w:rsid w:val="00DE77AF"/>
    <w:rsid w:val="00DE77E3"/>
    <w:rsid w:val="00DE7931"/>
    <w:rsid w:val="00DE7A92"/>
    <w:rsid w:val="00DF0007"/>
    <w:rsid w:val="00DF0712"/>
    <w:rsid w:val="00DF0AB2"/>
    <w:rsid w:val="00DF11E1"/>
    <w:rsid w:val="00DF1849"/>
    <w:rsid w:val="00DF1A80"/>
    <w:rsid w:val="00DF1B3F"/>
    <w:rsid w:val="00DF2F4E"/>
    <w:rsid w:val="00DF3090"/>
    <w:rsid w:val="00DF3767"/>
    <w:rsid w:val="00DF3ADB"/>
    <w:rsid w:val="00DF44EB"/>
    <w:rsid w:val="00DF585C"/>
    <w:rsid w:val="00DF73C6"/>
    <w:rsid w:val="00E0058D"/>
    <w:rsid w:val="00E00689"/>
    <w:rsid w:val="00E0105B"/>
    <w:rsid w:val="00E0180F"/>
    <w:rsid w:val="00E01C07"/>
    <w:rsid w:val="00E01EF7"/>
    <w:rsid w:val="00E0276E"/>
    <w:rsid w:val="00E03B07"/>
    <w:rsid w:val="00E04686"/>
    <w:rsid w:val="00E05327"/>
    <w:rsid w:val="00E05923"/>
    <w:rsid w:val="00E06110"/>
    <w:rsid w:val="00E0683F"/>
    <w:rsid w:val="00E0716D"/>
    <w:rsid w:val="00E07791"/>
    <w:rsid w:val="00E11F34"/>
    <w:rsid w:val="00E12935"/>
    <w:rsid w:val="00E1468B"/>
    <w:rsid w:val="00E20CE6"/>
    <w:rsid w:val="00E21D62"/>
    <w:rsid w:val="00E240D5"/>
    <w:rsid w:val="00E24E4C"/>
    <w:rsid w:val="00E25A7D"/>
    <w:rsid w:val="00E2707F"/>
    <w:rsid w:val="00E30BDF"/>
    <w:rsid w:val="00E31786"/>
    <w:rsid w:val="00E33D5E"/>
    <w:rsid w:val="00E353E2"/>
    <w:rsid w:val="00E35EF2"/>
    <w:rsid w:val="00E3669E"/>
    <w:rsid w:val="00E403C2"/>
    <w:rsid w:val="00E40FD8"/>
    <w:rsid w:val="00E423A0"/>
    <w:rsid w:val="00E433E3"/>
    <w:rsid w:val="00E4649D"/>
    <w:rsid w:val="00E4682A"/>
    <w:rsid w:val="00E46887"/>
    <w:rsid w:val="00E5095E"/>
    <w:rsid w:val="00E5173E"/>
    <w:rsid w:val="00E5306C"/>
    <w:rsid w:val="00E54274"/>
    <w:rsid w:val="00E54A30"/>
    <w:rsid w:val="00E56002"/>
    <w:rsid w:val="00E56252"/>
    <w:rsid w:val="00E56F24"/>
    <w:rsid w:val="00E61089"/>
    <w:rsid w:val="00E6179E"/>
    <w:rsid w:val="00E622A9"/>
    <w:rsid w:val="00E62CFE"/>
    <w:rsid w:val="00E641E3"/>
    <w:rsid w:val="00E645EF"/>
    <w:rsid w:val="00E65BED"/>
    <w:rsid w:val="00E664E0"/>
    <w:rsid w:val="00E72F8C"/>
    <w:rsid w:val="00E73548"/>
    <w:rsid w:val="00E73C6C"/>
    <w:rsid w:val="00E74A48"/>
    <w:rsid w:val="00E74C89"/>
    <w:rsid w:val="00E76865"/>
    <w:rsid w:val="00E77861"/>
    <w:rsid w:val="00E77B41"/>
    <w:rsid w:val="00E8014F"/>
    <w:rsid w:val="00E808F6"/>
    <w:rsid w:val="00E810D9"/>
    <w:rsid w:val="00E813E6"/>
    <w:rsid w:val="00E828B2"/>
    <w:rsid w:val="00E84484"/>
    <w:rsid w:val="00E84646"/>
    <w:rsid w:val="00E84C9F"/>
    <w:rsid w:val="00E8514A"/>
    <w:rsid w:val="00E90077"/>
    <w:rsid w:val="00E90746"/>
    <w:rsid w:val="00E90CC4"/>
    <w:rsid w:val="00E94ECA"/>
    <w:rsid w:val="00E96081"/>
    <w:rsid w:val="00E96399"/>
    <w:rsid w:val="00E977D9"/>
    <w:rsid w:val="00E97A24"/>
    <w:rsid w:val="00EA1E6D"/>
    <w:rsid w:val="00EA41B1"/>
    <w:rsid w:val="00EA5A39"/>
    <w:rsid w:val="00EA5D9E"/>
    <w:rsid w:val="00EA5DE0"/>
    <w:rsid w:val="00EA6D99"/>
    <w:rsid w:val="00EA6EDE"/>
    <w:rsid w:val="00EA75FD"/>
    <w:rsid w:val="00EA76F2"/>
    <w:rsid w:val="00EB02B4"/>
    <w:rsid w:val="00EB0B1D"/>
    <w:rsid w:val="00EB0F41"/>
    <w:rsid w:val="00EB1E8B"/>
    <w:rsid w:val="00EB1EDD"/>
    <w:rsid w:val="00EB2FB1"/>
    <w:rsid w:val="00EB328D"/>
    <w:rsid w:val="00EB3753"/>
    <w:rsid w:val="00EB3EEB"/>
    <w:rsid w:val="00EB4861"/>
    <w:rsid w:val="00EB492B"/>
    <w:rsid w:val="00EB4E50"/>
    <w:rsid w:val="00EB507E"/>
    <w:rsid w:val="00EB5B89"/>
    <w:rsid w:val="00EB6886"/>
    <w:rsid w:val="00EB7602"/>
    <w:rsid w:val="00EB76C1"/>
    <w:rsid w:val="00EB7797"/>
    <w:rsid w:val="00EC1043"/>
    <w:rsid w:val="00EC1100"/>
    <w:rsid w:val="00EC20C6"/>
    <w:rsid w:val="00EC2FD3"/>
    <w:rsid w:val="00EC4A1E"/>
    <w:rsid w:val="00EC54B0"/>
    <w:rsid w:val="00EC5D0B"/>
    <w:rsid w:val="00ED1AFF"/>
    <w:rsid w:val="00ED2B77"/>
    <w:rsid w:val="00ED3AC2"/>
    <w:rsid w:val="00ED3F5B"/>
    <w:rsid w:val="00ED54CA"/>
    <w:rsid w:val="00ED6411"/>
    <w:rsid w:val="00ED738E"/>
    <w:rsid w:val="00ED7718"/>
    <w:rsid w:val="00EE186C"/>
    <w:rsid w:val="00EE186D"/>
    <w:rsid w:val="00EE1DC8"/>
    <w:rsid w:val="00EE1FAC"/>
    <w:rsid w:val="00EE2A43"/>
    <w:rsid w:val="00EE2D6F"/>
    <w:rsid w:val="00EE55A9"/>
    <w:rsid w:val="00EE6721"/>
    <w:rsid w:val="00EE7A44"/>
    <w:rsid w:val="00EF1766"/>
    <w:rsid w:val="00EF28EB"/>
    <w:rsid w:val="00EF33BE"/>
    <w:rsid w:val="00EF3AAB"/>
    <w:rsid w:val="00EF61F6"/>
    <w:rsid w:val="00EF7095"/>
    <w:rsid w:val="00F00AFA"/>
    <w:rsid w:val="00F03D46"/>
    <w:rsid w:val="00F03F38"/>
    <w:rsid w:val="00F04F00"/>
    <w:rsid w:val="00F059A3"/>
    <w:rsid w:val="00F07BDC"/>
    <w:rsid w:val="00F10864"/>
    <w:rsid w:val="00F11889"/>
    <w:rsid w:val="00F12038"/>
    <w:rsid w:val="00F1380E"/>
    <w:rsid w:val="00F13FD1"/>
    <w:rsid w:val="00F149EE"/>
    <w:rsid w:val="00F14DF6"/>
    <w:rsid w:val="00F14E36"/>
    <w:rsid w:val="00F15AF9"/>
    <w:rsid w:val="00F167D0"/>
    <w:rsid w:val="00F2009C"/>
    <w:rsid w:val="00F20A69"/>
    <w:rsid w:val="00F22365"/>
    <w:rsid w:val="00F22AF8"/>
    <w:rsid w:val="00F23BA4"/>
    <w:rsid w:val="00F240E0"/>
    <w:rsid w:val="00F24372"/>
    <w:rsid w:val="00F245F8"/>
    <w:rsid w:val="00F258B7"/>
    <w:rsid w:val="00F258C4"/>
    <w:rsid w:val="00F25989"/>
    <w:rsid w:val="00F25D34"/>
    <w:rsid w:val="00F2665D"/>
    <w:rsid w:val="00F26828"/>
    <w:rsid w:val="00F26E82"/>
    <w:rsid w:val="00F27D02"/>
    <w:rsid w:val="00F303A0"/>
    <w:rsid w:val="00F30F3C"/>
    <w:rsid w:val="00F324B4"/>
    <w:rsid w:val="00F34587"/>
    <w:rsid w:val="00F35D0B"/>
    <w:rsid w:val="00F36C82"/>
    <w:rsid w:val="00F36FD5"/>
    <w:rsid w:val="00F402C9"/>
    <w:rsid w:val="00F4385A"/>
    <w:rsid w:val="00F44D06"/>
    <w:rsid w:val="00F45C75"/>
    <w:rsid w:val="00F45FBF"/>
    <w:rsid w:val="00F4672D"/>
    <w:rsid w:val="00F50E16"/>
    <w:rsid w:val="00F51FF3"/>
    <w:rsid w:val="00F53238"/>
    <w:rsid w:val="00F5335B"/>
    <w:rsid w:val="00F53A8E"/>
    <w:rsid w:val="00F54B4D"/>
    <w:rsid w:val="00F55341"/>
    <w:rsid w:val="00F554C8"/>
    <w:rsid w:val="00F5638C"/>
    <w:rsid w:val="00F568EB"/>
    <w:rsid w:val="00F57362"/>
    <w:rsid w:val="00F576A8"/>
    <w:rsid w:val="00F57B5A"/>
    <w:rsid w:val="00F60E9B"/>
    <w:rsid w:val="00F61593"/>
    <w:rsid w:val="00F61C39"/>
    <w:rsid w:val="00F62474"/>
    <w:rsid w:val="00F628DA"/>
    <w:rsid w:val="00F62FF7"/>
    <w:rsid w:val="00F63467"/>
    <w:rsid w:val="00F639AE"/>
    <w:rsid w:val="00F64DEA"/>
    <w:rsid w:val="00F659EF"/>
    <w:rsid w:val="00F66254"/>
    <w:rsid w:val="00F67B93"/>
    <w:rsid w:val="00F7008A"/>
    <w:rsid w:val="00F71C3E"/>
    <w:rsid w:val="00F71CF6"/>
    <w:rsid w:val="00F72180"/>
    <w:rsid w:val="00F727AF"/>
    <w:rsid w:val="00F73A40"/>
    <w:rsid w:val="00F75961"/>
    <w:rsid w:val="00F76D45"/>
    <w:rsid w:val="00F76D5D"/>
    <w:rsid w:val="00F77458"/>
    <w:rsid w:val="00F77469"/>
    <w:rsid w:val="00F80753"/>
    <w:rsid w:val="00F80BD6"/>
    <w:rsid w:val="00F8187D"/>
    <w:rsid w:val="00F81C4F"/>
    <w:rsid w:val="00F85A32"/>
    <w:rsid w:val="00F85B82"/>
    <w:rsid w:val="00F86692"/>
    <w:rsid w:val="00F86A7C"/>
    <w:rsid w:val="00F86CE7"/>
    <w:rsid w:val="00F90106"/>
    <w:rsid w:val="00F9025F"/>
    <w:rsid w:val="00F90D5B"/>
    <w:rsid w:val="00F912C1"/>
    <w:rsid w:val="00F91882"/>
    <w:rsid w:val="00F91953"/>
    <w:rsid w:val="00F91B56"/>
    <w:rsid w:val="00F9250E"/>
    <w:rsid w:val="00F93086"/>
    <w:rsid w:val="00F93799"/>
    <w:rsid w:val="00F9426E"/>
    <w:rsid w:val="00F94EF2"/>
    <w:rsid w:val="00F973D2"/>
    <w:rsid w:val="00FA0334"/>
    <w:rsid w:val="00FA1CAD"/>
    <w:rsid w:val="00FA241E"/>
    <w:rsid w:val="00FA2955"/>
    <w:rsid w:val="00FA3C7D"/>
    <w:rsid w:val="00FA4299"/>
    <w:rsid w:val="00FA4430"/>
    <w:rsid w:val="00FA4581"/>
    <w:rsid w:val="00FA478C"/>
    <w:rsid w:val="00FA4D0A"/>
    <w:rsid w:val="00FA70F0"/>
    <w:rsid w:val="00FB1BED"/>
    <w:rsid w:val="00FB260A"/>
    <w:rsid w:val="00FB3342"/>
    <w:rsid w:val="00FB3626"/>
    <w:rsid w:val="00FB3B21"/>
    <w:rsid w:val="00FC0447"/>
    <w:rsid w:val="00FC0CE4"/>
    <w:rsid w:val="00FC1A50"/>
    <w:rsid w:val="00FC2126"/>
    <w:rsid w:val="00FC53F5"/>
    <w:rsid w:val="00FC5597"/>
    <w:rsid w:val="00FC779B"/>
    <w:rsid w:val="00FC7A31"/>
    <w:rsid w:val="00FD0CBD"/>
    <w:rsid w:val="00FD1ABE"/>
    <w:rsid w:val="00FD25DC"/>
    <w:rsid w:val="00FD28B8"/>
    <w:rsid w:val="00FD32D2"/>
    <w:rsid w:val="00FD3DAE"/>
    <w:rsid w:val="00FD5A4C"/>
    <w:rsid w:val="00FD6181"/>
    <w:rsid w:val="00FD77EA"/>
    <w:rsid w:val="00FE02F9"/>
    <w:rsid w:val="00FE0EB4"/>
    <w:rsid w:val="00FE125B"/>
    <w:rsid w:val="00FE1CD7"/>
    <w:rsid w:val="00FE258B"/>
    <w:rsid w:val="00FE2B52"/>
    <w:rsid w:val="00FE2E3F"/>
    <w:rsid w:val="00FE39B2"/>
    <w:rsid w:val="00FE4674"/>
    <w:rsid w:val="00FE5998"/>
    <w:rsid w:val="00FE5BC4"/>
    <w:rsid w:val="00FE63FA"/>
    <w:rsid w:val="00FE7960"/>
    <w:rsid w:val="00FF0D5B"/>
    <w:rsid w:val="00FF1627"/>
    <w:rsid w:val="00FF2124"/>
    <w:rsid w:val="00FF2411"/>
    <w:rsid w:val="00FF30A8"/>
    <w:rsid w:val="00FF4ACC"/>
    <w:rsid w:val="00FF568A"/>
    <w:rsid w:val="00FF57D6"/>
    <w:rsid w:val="00FF6556"/>
    <w:rsid w:val="00FF6710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6A64"/>
    <w:pPr>
      <w:autoSpaceDE w:val="0"/>
      <w:autoSpaceDN w:val="0"/>
      <w:adjustRightInd w:val="0"/>
      <w:spacing w:after="0" w:line="240" w:lineRule="auto"/>
    </w:pPr>
    <w:rPr>
      <w:rFonts w:ascii="FreeSetC" w:hAnsi="FreeSetC" w:cs="FreeSetC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66A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966A64"/>
    <w:pPr>
      <w:widowControl w:val="0"/>
      <w:tabs>
        <w:tab w:val="left" w:pos="288"/>
        <w:tab w:val="left" w:pos="720"/>
        <w:tab w:val="left" w:pos="4320"/>
      </w:tabs>
      <w:ind w:firstLine="28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966A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66A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6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66A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6A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cp:lastPrinted>2014-05-28T07:27:00Z</cp:lastPrinted>
  <dcterms:created xsi:type="dcterms:W3CDTF">2014-05-28T06:32:00Z</dcterms:created>
  <dcterms:modified xsi:type="dcterms:W3CDTF">2014-05-28T07:27:00Z</dcterms:modified>
</cp:coreProperties>
</file>