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81" w:rsidRDefault="00574281" w:rsidP="00574281">
      <w:pPr>
        <w:pStyle w:val="a4"/>
        <w:shd w:val="clear" w:color="auto" w:fill="auto"/>
        <w:ind w:left="155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Темы для обсуждения и вопросы кредитных организаций </w:t>
      </w:r>
      <w:r w:rsidR="00840B00">
        <w:rPr>
          <w:b/>
          <w:bCs/>
          <w:sz w:val="24"/>
          <w:szCs w:val="24"/>
        </w:rPr>
        <w:t>п</w:t>
      </w:r>
      <w:bookmarkStart w:id="0" w:name="_GoBack"/>
      <w:bookmarkEnd w:id="0"/>
      <w:r>
        <w:rPr>
          <w:b/>
          <w:bCs/>
          <w:sz w:val="24"/>
          <w:szCs w:val="24"/>
        </w:rPr>
        <w:t>о направлению «Банковское регулирование»</w:t>
      </w:r>
    </w:p>
    <w:p w:rsidR="004A3D77" w:rsidRDefault="004A3D7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6768"/>
      </w:tblGrid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pStyle w:val="a7"/>
              <w:shd w:val="clear" w:color="auto" w:fill="auto"/>
              <w:spacing w:before="100"/>
              <w:ind w:left="80"/>
              <w:jc w:val="center"/>
            </w:pPr>
            <w:r w:rsidRPr="00C239C2">
              <w:rPr>
                <w:b/>
                <w:bCs/>
              </w:rPr>
              <w:t>№ п/п</w:t>
            </w:r>
          </w:p>
        </w:tc>
        <w:tc>
          <w:tcPr>
            <w:tcW w:w="7088" w:type="dxa"/>
          </w:tcPr>
          <w:p w:rsidR="00574281" w:rsidRPr="00C239C2" w:rsidRDefault="00574281" w:rsidP="00574281">
            <w:pPr>
              <w:pStyle w:val="a7"/>
              <w:shd w:val="clear" w:color="auto" w:fill="auto"/>
              <w:ind w:left="3320"/>
              <w:jc w:val="left"/>
            </w:pPr>
            <w:r w:rsidRPr="00C239C2">
              <w:rPr>
                <w:b/>
                <w:bCs/>
              </w:rPr>
              <w:t>Вопросы</w:t>
            </w:r>
          </w:p>
        </w:tc>
        <w:tc>
          <w:tcPr>
            <w:tcW w:w="6768" w:type="dxa"/>
          </w:tcPr>
          <w:p w:rsidR="00574281" w:rsidRPr="00C239C2" w:rsidRDefault="00574281" w:rsidP="00574281">
            <w:pPr>
              <w:pStyle w:val="a7"/>
              <w:shd w:val="clear" w:color="auto" w:fill="auto"/>
              <w:jc w:val="center"/>
            </w:pPr>
            <w:r w:rsidRPr="00C239C2">
              <w:rPr>
                <w:b/>
                <w:bCs/>
              </w:rPr>
              <w:t>Разъяснения ДБР</w:t>
            </w:r>
          </w:p>
        </w:tc>
      </w:tr>
      <w:tr w:rsidR="00574281" w:rsidTr="002D5B66">
        <w:tc>
          <w:tcPr>
            <w:tcW w:w="14560" w:type="dxa"/>
            <w:gridSpan w:val="3"/>
          </w:tcPr>
          <w:p w:rsidR="00574281" w:rsidRPr="00D6370F" w:rsidRDefault="00574281" w:rsidP="00574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70F">
              <w:rPr>
                <w:rFonts w:ascii="Times New Roman" w:hAnsi="Times New Roman" w:cs="Times New Roman"/>
                <w:b/>
              </w:rPr>
              <w:t>Планируемые изменения регуляторных подходов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Каковы планируемые сроки разработки новой редакции проекта изменений Положения Банка России от 28.06.2017 № 590-П «О порядке формирования кредитными организациями резервов на возможные потери по ссудам, ссудной и приравненной к ней задолженности»</w:t>
            </w:r>
            <w:r w:rsidRPr="00C239C2">
              <w:rPr>
                <w:rStyle w:val="aa"/>
                <w:rFonts w:ascii="Times New Roman" w:hAnsi="Times New Roman" w:cs="Times New Roman"/>
              </w:rPr>
              <w:footnoteReference w:id="1"/>
            </w:r>
            <w:r w:rsidRPr="00C239C2">
              <w:rPr>
                <w:rFonts w:ascii="Times New Roman" w:hAnsi="Times New Roman" w:cs="Times New Roman"/>
              </w:rPr>
              <w:t xml:space="preserve"> с учетом мнения банковского сообщества?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Срок разработки проекта - второй квартал текущего года.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Будет ли новая редакция проекта изменений Положения 590-П представлена для повторного обсуждения? Коснётся ли данная редакция изменений по оценке портфеля однородных ссуд?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pStyle w:val="a7"/>
              <w:shd w:val="clear" w:color="auto" w:fill="auto"/>
              <w:spacing w:after="260"/>
            </w:pPr>
            <w:r w:rsidRPr="00C239C2">
              <w:t>Проект Указания будет вынесен на повторное публичное обсуждение в целях оценки регулирующего воздействия.</w:t>
            </w:r>
          </w:p>
          <w:p w:rsidR="00574281" w:rsidRPr="00C239C2" w:rsidRDefault="00574281" w:rsidP="00D6370F">
            <w:pPr>
              <w:pStyle w:val="a7"/>
              <w:shd w:val="clear" w:color="auto" w:fill="auto"/>
            </w:pPr>
            <w:r w:rsidRPr="00C239C2">
              <w:t>Изменения, касающиеся формирования резервов по ссудам, сгруппированным в ПОС, уже содержащиеся в проекте Указания предусматривают:</w:t>
            </w:r>
          </w:p>
          <w:p w:rsidR="00574281" w:rsidRPr="00C239C2" w:rsidRDefault="00574281" w:rsidP="00D6370F">
            <w:pPr>
              <w:pStyle w:val="a7"/>
              <w:shd w:val="clear" w:color="auto" w:fill="auto"/>
              <w:tabs>
                <w:tab w:val="left" w:pos="425"/>
              </w:tabs>
            </w:pPr>
            <w:r w:rsidRPr="00C239C2">
              <w:t xml:space="preserve">- </w:t>
            </w:r>
            <w:r w:rsidRPr="00C239C2">
              <w:t>увеличение для банков с базовой лицензией (далее - ББЛ) порогового значения величины ссуды (совокупности ссуд) для включения в ПОС с 0,5 до 1,5 процентов от величины собственных средств (капитала) кредитных организаций;</w:t>
            </w:r>
          </w:p>
          <w:p w:rsidR="00574281" w:rsidRPr="00C239C2" w:rsidRDefault="00574281" w:rsidP="00D6370F">
            <w:pPr>
              <w:pStyle w:val="a7"/>
              <w:shd w:val="clear" w:color="auto" w:fill="auto"/>
              <w:tabs>
                <w:tab w:val="left" w:pos="382"/>
              </w:tabs>
            </w:pPr>
            <w:r w:rsidRPr="00C239C2">
              <w:t xml:space="preserve">- </w:t>
            </w:r>
            <w:r w:rsidRPr="00C239C2">
              <w:t>уточнение признаков обесценения ссуд в целях формирования резерва ПОС;</w:t>
            </w:r>
          </w:p>
          <w:p w:rsidR="00574281" w:rsidRPr="00C239C2" w:rsidRDefault="00574281" w:rsidP="00D6370F">
            <w:pPr>
              <w:pStyle w:val="a7"/>
              <w:shd w:val="clear" w:color="auto" w:fill="auto"/>
              <w:tabs>
                <w:tab w:val="left" w:pos="382"/>
              </w:tabs>
            </w:pPr>
            <w:r w:rsidRPr="00C239C2">
              <w:t xml:space="preserve">- </w:t>
            </w:r>
            <w:r w:rsidRPr="00C239C2">
              <w:t>возможность включения в ПОС ссуд, величиной не более 100 000 рублей, предоставленных заемщикам - физических лицам, при отсутствии документов для оценки их финансового положения, с формированием резерва по таким портфелям в размерах, предусмотренных для соответствующих портфелей, увеличенных на 0,5 процентных пунктов, но не более 100 процентов.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pStyle w:val="a7"/>
              <w:shd w:val="clear" w:color="auto" w:fill="auto"/>
            </w:pPr>
            <w:r w:rsidRPr="00C239C2">
              <w:t>Будут ли изменения Положения 590-11 иметь «обратную силу» по</w:t>
            </w:r>
            <w:r w:rsidR="00C239C2">
              <w:t xml:space="preserve"> </w:t>
            </w:r>
            <w:r w:rsidRPr="00C239C2">
              <w:t xml:space="preserve">всем изменениям или по отдельным нововведениям? Будет ли </w:t>
            </w:r>
            <w:r w:rsidRPr="00C239C2">
              <w:rPr>
                <w:rFonts w:eastAsia="Arial"/>
              </w:rPr>
              <w:t xml:space="preserve">дано </w:t>
            </w:r>
            <w:r w:rsidRPr="00C239C2">
              <w:t>банкам время на адаптацию своих методик и подходов?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В настоящее время данный вопрос находится на согласовании с руководством Банка России. Предполагается, что требования, содержащиеся в проекте, будут распространяться на новые ссуды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>с даты вступления нормативного акта в силу, а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>с 1.1.2019 требования распространяются на все ссуды, в том числе и на выданные до вступления проекта в силу.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Планируется ли Банком России изменение подходов по оценке ссуд в V категорию качества с формированием резерва в размере 100% при недействительности паспорта, возникшей после выдачи кредита?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Проект Указания будет содержать возможность формирования ПОС со 100% размером резерва, при выявлении недействительности паспорта заемщика после выдачи кредита.</w:t>
            </w:r>
          </w:p>
        </w:tc>
      </w:tr>
      <w:tr w:rsidR="00574281" w:rsidTr="00C425E2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pStyle w:val="a7"/>
              <w:shd w:val="clear" w:color="auto" w:fill="auto"/>
            </w:pPr>
            <w:r w:rsidRPr="00C239C2">
              <w:t>Будут ли уточняться подходы при введении III категории качества обеспечения, учитывая предложения банковского сообщества, ранее направленные к проекту Положения 590-П?</w:t>
            </w:r>
          </w:p>
        </w:tc>
        <w:tc>
          <w:tcPr>
            <w:tcW w:w="6768" w:type="dxa"/>
            <w:vAlign w:val="bottom"/>
          </w:tcPr>
          <w:p w:rsidR="00574281" w:rsidRPr="00C239C2" w:rsidRDefault="00574281" w:rsidP="00D6370F">
            <w:pPr>
              <w:pStyle w:val="a7"/>
              <w:shd w:val="clear" w:color="auto" w:fill="auto"/>
            </w:pPr>
            <w:r w:rsidRPr="00C239C2">
              <w:t xml:space="preserve">С учетом предложений банковского сообщества, требования к обеспечению </w:t>
            </w:r>
            <w:r w:rsidRPr="00C239C2">
              <w:rPr>
                <w:lang w:val="en-US" w:bidi="en-US"/>
              </w:rPr>
              <w:t>III</w:t>
            </w:r>
            <w:r w:rsidRPr="00C239C2">
              <w:rPr>
                <w:lang w:bidi="en-US"/>
              </w:rPr>
              <w:t xml:space="preserve"> </w:t>
            </w:r>
            <w:r w:rsidRPr="00C239C2">
              <w:t>категории качества обеспечения уточнены: например, залог недвижимого имущества, при сроке его реализации, не превышающего 270 календарных дней, сохранен во II категории обеспечения.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pStyle w:val="a7"/>
              <w:shd w:val="clear" w:color="auto" w:fill="auto"/>
            </w:pPr>
            <w:r w:rsidRPr="00C239C2">
              <w:t>В 2016 году Банк России опубликовал проект изменений Положения 254-П, предусматривающий, в том числе, возможность классификации ссуды заемщику-банкроту в IV категорию качества с формированием резерва 85% кредитной организацией, являющейся конкурсным/залоговым кредитором при соблюдении определенных условий. Планируется ли внедрение указанного послабления в новую версию положения о формировании РВПС?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pStyle w:val="a7"/>
              <w:shd w:val="clear" w:color="auto" w:fill="auto"/>
            </w:pPr>
            <w:r w:rsidRPr="00C239C2">
              <w:t>Вопрос требует дополнительного изучения. В рассматриваемом в настоящее время проекте Указания данная возможность не будет предусмотрена.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На текущий момент в банковской практике, в большинстве случаев, сумма процентов и/или комиссий, погашенных за счет кредитных средств, не велика и соответственно не несет существенного риска формирования источников собственных средств ненадлежащими активами.</w:t>
            </w:r>
          </w:p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Планирует ли Банк России установить уровень/критерий существенности для сумм, которые признаются ненадлежащими активами в соответствии с требованиями Положения № 395-П «О методике определения величины собственных средств (капитала) кредитных организаций (БАЗЕЛЬ III)»?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В новой редакции Положения № 395-П, критерий существенности предусмотрен. Косвенными вложениями кредитной организации в собственные источники капитала не признаются фондированные кредитной организацией источники капитала, составляющие менее 1% от величины собственных средств на дату расчета капитала, при этом сумма таких источников капитала не может превышать 5% от величины собственных средств на дату расчета капитала.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Когда Банком России планируется издание Проектов документов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 xml:space="preserve">по предстоящим изменениям в отчетности, связанным с внедрением МСФО 9, так как кредитными организациями необходимо время для </w:t>
            </w:r>
            <w:proofErr w:type="spellStart"/>
            <w:r w:rsidRPr="00C239C2">
              <w:rPr>
                <w:rFonts w:ascii="Times New Roman" w:hAnsi="Times New Roman" w:cs="Times New Roman"/>
              </w:rPr>
              <w:t>перестраивания</w:t>
            </w:r>
            <w:proofErr w:type="spellEnd"/>
            <w:r w:rsidRPr="00C239C2">
              <w:rPr>
                <w:rFonts w:ascii="Times New Roman" w:hAnsi="Times New Roman" w:cs="Times New Roman"/>
              </w:rPr>
              <w:t xml:space="preserve"> процессов сбора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>информации и алгоритмов формирования отчетности?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pStyle w:val="a7"/>
              <w:shd w:val="clear" w:color="auto" w:fill="auto"/>
            </w:pPr>
            <w:r w:rsidRPr="00C239C2">
              <w:t>Банк России планирует в общеустановленном порядке внести</w:t>
            </w:r>
            <w:r w:rsidRPr="00C239C2">
              <w:t xml:space="preserve"> </w:t>
            </w:r>
            <w:r w:rsidRPr="00C239C2">
              <w:t>изменения в отдельные формы отчетности, связанные с внедрением МСФО 9, с плановым сроком - III квартал текущего года.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57428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Будут ли учитываться корректировки финансовых результатов кредитных организаций в целях МСФО 9 (Положения Банка России № № 604-П, 605-П, 606-П) для расчета капитала и обязательных нормативов банков с 01.01.2019?</w:t>
            </w:r>
          </w:p>
        </w:tc>
        <w:tc>
          <w:tcPr>
            <w:tcW w:w="6768" w:type="dxa"/>
          </w:tcPr>
          <w:p w:rsidR="00574281" w:rsidRPr="00C239C2" w:rsidRDefault="0057428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 xml:space="preserve">Расчет собственных средств (капитала), нормативов достаточности капитала, а также определение в </w:t>
            </w:r>
            <w:proofErr w:type="spellStart"/>
            <w:r w:rsidRPr="00C239C2">
              <w:rPr>
                <w:rFonts w:ascii="Times New Roman" w:hAnsi="Times New Roman" w:cs="Times New Roman"/>
              </w:rPr>
              <w:t>пруденциальных</w:t>
            </w:r>
            <w:proofErr w:type="spellEnd"/>
            <w:r w:rsidRPr="00C239C2">
              <w:rPr>
                <w:rFonts w:ascii="Times New Roman" w:hAnsi="Times New Roman" w:cs="Times New Roman"/>
              </w:rPr>
              <w:t xml:space="preserve"> целях размера резерва на возможные потери, будет осуществляться в соответствии с действующими нормативными актами Банка России без учета балансовых счетов корректировок, предусмотренных планом счетов в целях отражения финансового результата по МСФО 9.</w:t>
            </w:r>
          </w:p>
        </w:tc>
      </w:tr>
      <w:tr w:rsidR="00574281" w:rsidTr="00C9200C">
        <w:tc>
          <w:tcPr>
            <w:tcW w:w="14560" w:type="dxa"/>
            <w:gridSpan w:val="3"/>
          </w:tcPr>
          <w:p w:rsidR="00574281" w:rsidRPr="00D6370F" w:rsidRDefault="00574281" w:rsidP="00574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70F">
              <w:rPr>
                <w:rFonts w:ascii="Times New Roman" w:hAnsi="Times New Roman" w:cs="Times New Roman"/>
                <w:b/>
              </w:rPr>
              <w:t>Оценка риска по ПОС и ПОТ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E94D9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8" w:type="dxa"/>
          </w:tcPr>
          <w:p w:rsidR="00574281" w:rsidRPr="00C239C2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 xml:space="preserve">Какие планируемые сроки для введения экстраполяция по кредитам в ПОС? Каким образом ПОС по поручению Банка России будут </w:t>
            </w:r>
            <w:r w:rsidRPr="00C239C2">
              <w:rPr>
                <w:rFonts w:ascii="Times New Roman" w:hAnsi="Times New Roman" w:cs="Times New Roman"/>
              </w:rPr>
              <w:lastRenderedPageBreak/>
              <w:t>анализировать аудиторы, в какие сроки и как часто это будет происходить?</w:t>
            </w:r>
          </w:p>
        </w:tc>
        <w:tc>
          <w:tcPr>
            <w:tcW w:w="6768" w:type="dxa"/>
          </w:tcPr>
          <w:p w:rsidR="00E94D91" w:rsidRPr="00C239C2" w:rsidRDefault="00E94D91" w:rsidP="00D6370F">
            <w:pPr>
              <w:pStyle w:val="a7"/>
              <w:shd w:val="clear" w:color="auto" w:fill="auto"/>
            </w:pPr>
            <w:r w:rsidRPr="00C239C2">
              <w:lastRenderedPageBreak/>
              <w:t xml:space="preserve">Указание Банка России «О порядке проверки корректности формирования кредитной организацией резервов по портфелям </w:t>
            </w:r>
            <w:r w:rsidRPr="00C239C2">
              <w:lastRenderedPageBreak/>
              <w:t>однородных ссуд (ПОС) методом экстраполяции» планируется ввести в действие в 2018 году.</w:t>
            </w:r>
          </w:p>
          <w:p w:rsidR="00E94D91" w:rsidRPr="00C239C2" w:rsidRDefault="00E94D91" w:rsidP="00D6370F">
            <w:pPr>
              <w:pStyle w:val="a7"/>
              <w:shd w:val="clear" w:color="auto" w:fill="auto"/>
            </w:pPr>
            <w:r w:rsidRPr="00C239C2">
              <w:t>Методическая часть проекта проработана с банковским сообществом и согласована с заинтересованными структурными подразделениями Банка России.</w:t>
            </w:r>
          </w:p>
          <w:p w:rsidR="00574281" w:rsidRPr="00C239C2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В настоящее время уточняется ряд организационных вопросов, связанных с практическим исполнением и оформлением результатов процедур при проведении проверки силами аудиторских организаций.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E94D9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088" w:type="dxa"/>
          </w:tcPr>
          <w:p w:rsidR="00E94D91" w:rsidRPr="00C239C2" w:rsidRDefault="00E94D91" w:rsidP="00D6370F">
            <w:pPr>
              <w:pStyle w:val="a7"/>
              <w:shd w:val="clear" w:color="auto" w:fill="auto"/>
            </w:pPr>
            <w:r w:rsidRPr="00C239C2">
              <w:t>Положение 590-П не предусматривает применение банками статистических методов для оценки финансового состояния физических лиц, хотя данные методы широко распространены на рынке.</w:t>
            </w:r>
          </w:p>
          <w:p w:rsidR="00574281" w:rsidRPr="00C239C2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Допускает ли Банк России возможность расширения перечня информации в Положении 590-П, требуемой для анализа финансового положения заемщика - физического лица, прямо поименовав информацию об оценке его финансового положения, в том числе, на основе внутренних моделей с использованием статистических методов и обозначив при этом требования к их построению?</w:t>
            </w:r>
          </w:p>
        </w:tc>
        <w:tc>
          <w:tcPr>
            <w:tcW w:w="6768" w:type="dxa"/>
          </w:tcPr>
          <w:p w:rsidR="00E94D91" w:rsidRPr="00C239C2" w:rsidRDefault="00E94D91" w:rsidP="00D6370F">
            <w:pPr>
              <w:pStyle w:val="a7"/>
              <w:shd w:val="clear" w:color="auto" w:fill="auto"/>
              <w:tabs>
                <w:tab w:val="left" w:pos="529"/>
              </w:tabs>
            </w:pPr>
            <w:r w:rsidRPr="00C239C2">
              <w:t>В соответствии с действующими требованиями Положения                               №</w:t>
            </w:r>
            <w:r w:rsidRPr="00C239C2">
              <w:t xml:space="preserve"> </w:t>
            </w:r>
            <w:r w:rsidRPr="00C239C2">
              <w:t>590-П перечень методов, используемых кредитными</w:t>
            </w:r>
            <w:r w:rsidRPr="00C239C2">
              <w:t xml:space="preserve"> </w:t>
            </w:r>
            <w:r w:rsidRPr="00C239C2">
              <w:t>организациями для оценки риска по ПОС, не является исчерпывающим,</w:t>
            </w:r>
            <w:r w:rsidRPr="00C239C2">
              <w:t xml:space="preserve"> </w:t>
            </w:r>
            <w:r w:rsidRPr="00C239C2">
              <w:t>кредитная</w:t>
            </w:r>
            <w:r w:rsidRPr="00C239C2">
              <w:t xml:space="preserve"> </w:t>
            </w:r>
            <w:r w:rsidRPr="00C239C2">
              <w:t>организация</w:t>
            </w:r>
            <w:r w:rsidRPr="00C239C2">
              <w:t xml:space="preserve"> </w:t>
            </w:r>
            <w:r w:rsidRPr="00C239C2">
              <w:t>самостоятельно</w:t>
            </w:r>
            <w:r w:rsidRPr="00C239C2">
              <w:t xml:space="preserve"> </w:t>
            </w:r>
            <w:r w:rsidRPr="00C239C2">
              <w:t>определяет процедуры оценки риска по ПОС.</w:t>
            </w:r>
          </w:p>
          <w:p w:rsidR="00574281" w:rsidRPr="00C239C2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Закрепление в нормативном акте возможности оценки финансового положения заемщика исключительно на основе внутренних моделей не планируется. В то же время планируется дополнение перечня информации, которую кредитные организации могут использовать для оценки финансового положения заемщика.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E94D9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88" w:type="dxa"/>
          </w:tcPr>
          <w:p w:rsidR="00574281" w:rsidRPr="00C239C2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Возможен ли пересмотр подхода к формированию ПОС для рефинансированных кредитов, ранее выданных самим банком («внутреннее» рефинансирование):</w:t>
            </w:r>
          </w:p>
          <w:p w:rsidR="00E94D91" w:rsidRPr="00C239C2" w:rsidRDefault="00E94D91" w:rsidP="00D6370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504"/>
              </w:tabs>
              <w:ind w:firstLine="324"/>
            </w:pPr>
            <w:r w:rsidRPr="00C239C2">
              <w:t>внести изменение в части возможности включения в стандартный ПОС новых кредитов, выданных на рефинансирование действующих, в случае если это рефинансирование производится не по причине ухудшения финансового положения (в т.ч. по косвенным признакам), а как лояльное</w:t>
            </w:r>
            <w:r w:rsidRPr="00C239C2">
              <w:t xml:space="preserve"> </w:t>
            </w:r>
            <w:r w:rsidRPr="00C239C2">
              <w:t>предложение</w:t>
            </w:r>
            <w:r w:rsidRPr="00C239C2">
              <w:t xml:space="preserve"> </w:t>
            </w:r>
            <w:r w:rsidRPr="00C239C2">
              <w:t>банка</w:t>
            </w:r>
            <w:r w:rsidRPr="00C239C2">
              <w:t xml:space="preserve"> </w:t>
            </w:r>
            <w:r w:rsidRPr="00C239C2">
              <w:t>«хорошему», добросовестному клиенту с улучшением условий кредитования;</w:t>
            </w:r>
          </w:p>
          <w:p w:rsidR="00E94D91" w:rsidRPr="00C239C2" w:rsidRDefault="00E94D91" w:rsidP="00D6370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385"/>
              </w:tabs>
              <w:ind w:firstLine="324"/>
            </w:pPr>
            <w:r w:rsidRPr="00C239C2">
              <w:t>при этом не применять подтверждение дохода за «глубокий</w:t>
            </w:r>
            <w:r w:rsidRPr="00C239C2">
              <w:t xml:space="preserve"> </w:t>
            </w:r>
            <w:r w:rsidRPr="00C239C2">
              <w:t>период» (за текущий и предыдущий годы), а применять период проверки и способы подтверждения платежеспособности в соответствии с принятыми в банке для стандартных программ. В т.ч. с применением модели предсказания</w:t>
            </w:r>
            <w:r w:rsidRPr="00C239C2">
              <w:t xml:space="preserve"> </w:t>
            </w:r>
            <w:r w:rsidRPr="00C239C2">
              <w:t>доходов,</w:t>
            </w:r>
            <w:r w:rsidRPr="00C239C2">
              <w:t xml:space="preserve"> </w:t>
            </w:r>
            <w:r w:rsidRPr="00C239C2">
              <w:t>разработанной на основе статистических данных банка, информации из БКИ, данных о доходах в регионе предоставления кредитов.</w:t>
            </w:r>
          </w:p>
          <w:p w:rsidR="00E94D91" w:rsidRPr="00C239C2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Данное изменение актуально в связи с наличием на рынке и использованием всеми значимыми банками продукта лояльности к своим заемщикам - рефинансирования ранее выданных кредитов</w:t>
            </w:r>
            <w:r w:rsidRPr="00C239C2">
              <w:rPr>
                <w:rFonts w:ascii="Times New Roman" w:hAnsi="Times New Roman" w:cs="Times New Roman"/>
              </w:rPr>
              <w:t xml:space="preserve">, </w:t>
            </w:r>
            <w:r w:rsidRPr="00C239C2">
              <w:rPr>
                <w:rFonts w:ascii="Times New Roman" w:hAnsi="Times New Roman" w:cs="Times New Roman"/>
              </w:rPr>
              <w:lastRenderedPageBreak/>
              <w:t>направленного на выстраивание с клиентами долгосрочных и взаимовыгодных отношений.</w:t>
            </w:r>
          </w:p>
        </w:tc>
        <w:tc>
          <w:tcPr>
            <w:tcW w:w="6768" w:type="dxa"/>
          </w:tcPr>
          <w:p w:rsidR="00574281" w:rsidRPr="00C239C2" w:rsidRDefault="00E94D91" w:rsidP="00D6370F">
            <w:pPr>
              <w:pStyle w:val="a7"/>
              <w:shd w:val="clear" w:color="auto" w:fill="auto"/>
              <w:tabs>
                <w:tab w:val="left" w:pos="2045"/>
                <w:tab w:val="left" w:pos="3463"/>
                <w:tab w:val="left" w:pos="5573"/>
                <w:tab w:val="left" w:pos="6667"/>
              </w:tabs>
            </w:pPr>
            <w:r w:rsidRPr="00C239C2">
              <w:lastRenderedPageBreak/>
              <w:t>Действующий</w:t>
            </w:r>
            <w:r w:rsidRPr="00C239C2">
              <w:t xml:space="preserve"> </w:t>
            </w:r>
            <w:r w:rsidRPr="00C239C2">
              <w:t>порядок</w:t>
            </w:r>
            <w:r w:rsidRPr="00C239C2">
              <w:t xml:space="preserve"> </w:t>
            </w:r>
            <w:r w:rsidRPr="00C239C2">
              <w:t>формирования</w:t>
            </w:r>
            <w:r w:rsidRPr="00C239C2">
              <w:t xml:space="preserve"> </w:t>
            </w:r>
            <w:r w:rsidRPr="00C239C2">
              <w:t>ПОС</w:t>
            </w:r>
            <w:r w:rsidRPr="00C239C2">
              <w:t xml:space="preserve"> </w:t>
            </w:r>
            <w:r w:rsidRPr="00C239C2">
              <w:t>по</w:t>
            </w:r>
            <w:r w:rsidRPr="00C239C2">
              <w:t xml:space="preserve"> </w:t>
            </w:r>
            <w:r w:rsidRPr="00C239C2">
              <w:t>рефинансированным кредитам и подход к оценке кредитного риска по ним, в нашем понимании, не требует изменений.</w:t>
            </w:r>
          </w:p>
          <w:p w:rsidR="00E94D91" w:rsidRPr="00C239C2" w:rsidRDefault="00E94D91" w:rsidP="00D6370F">
            <w:pPr>
              <w:pStyle w:val="a7"/>
              <w:shd w:val="clear" w:color="auto" w:fill="auto"/>
              <w:tabs>
                <w:tab w:val="left" w:pos="310"/>
              </w:tabs>
            </w:pPr>
            <w:r w:rsidRPr="00C239C2">
              <w:t>а)</w:t>
            </w:r>
            <w:r w:rsidRPr="00C239C2">
              <w:tab/>
              <w:t>Положением № 590-П предусмотрена возможность включать</w:t>
            </w:r>
            <w:r w:rsidRPr="00C239C2">
              <w:t xml:space="preserve"> </w:t>
            </w:r>
            <w:r w:rsidRPr="00C239C2">
              <w:t>ссуды,</w:t>
            </w:r>
            <w:r w:rsidRPr="00C239C2">
              <w:t xml:space="preserve"> </w:t>
            </w:r>
            <w:r w:rsidRPr="00C239C2">
              <w:t>направленные</w:t>
            </w:r>
            <w:r w:rsidRPr="00C239C2">
              <w:t xml:space="preserve"> </w:t>
            </w:r>
            <w:r w:rsidRPr="00C239C2">
              <w:t>на</w:t>
            </w:r>
            <w:r w:rsidRPr="00C239C2">
              <w:t xml:space="preserve"> </w:t>
            </w:r>
            <w:r w:rsidRPr="00C239C2">
              <w:t>рефинансирование</w:t>
            </w:r>
            <w:r w:rsidRPr="00C239C2">
              <w:t xml:space="preserve"> </w:t>
            </w:r>
            <w:r w:rsidRPr="00C239C2">
              <w:t>ранее</w:t>
            </w:r>
            <w:r w:rsidRPr="00C239C2">
              <w:t xml:space="preserve"> </w:t>
            </w:r>
            <w:r w:rsidRPr="00C239C2">
              <w:t>предоставленных ссуд, в ПОС при наличии в отношении них решения уполномоченного органа.</w:t>
            </w:r>
          </w:p>
          <w:p w:rsidR="00E94D91" w:rsidRPr="00C239C2" w:rsidRDefault="00E94D91" w:rsidP="00D6370F">
            <w:pPr>
              <w:pStyle w:val="a7"/>
              <w:shd w:val="clear" w:color="auto" w:fill="auto"/>
              <w:tabs>
                <w:tab w:val="left" w:pos="299"/>
              </w:tabs>
              <w:ind w:right="140"/>
            </w:pPr>
            <w:r w:rsidRPr="00C239C2">
              <w:t>б)</w:t>
            </w:r>
            <w:r w:rsidRPr="00C239C2">
              <w:tab/>
              <w:t>Оценка финансового положения заемщика - физического лица должна производиться кредитной организацией на момент принятия решения о выдаче ссуды и ее отнесения в ПОС.</w:t>
            </w:r>
          </w:p>
          <w:p w:rsidR="00E94D91" w:rsidRPr="00C239C2" w:rsidRDefault="00E94D91" w:rsidP="00D6370F">
            <w:pPr>
              <w:pStyle w:val="a7"/>
              <w:shd w:val="clear" w:color="auto" w:fill="auto"/>
              <w:tabs>
                <w:tab w:val="left" w:pos="965"/>
                <w:tab w:val="left" w:pos="2779"/>
                <w:tab w:val="left" w:pos="3373"/>
                <w:tab w:val="left" w:pos="5803"/>
              </w:tabs>
            </w:pPr>
            <w:r w:rsidRPr="00C239C2">
              <w:t>Если</w:t>
            </w:r>
            <w:r w:rsidRPr="00C239C2">
              <w:t xml:space="preserve"> </w:t>
            </w:r>
            <w:r w:rsidRPr="00C239C2">
              <w:t>предложения</w:t>
            </w:r>
            <w:r w:rsidRPr="00C239C2">
              <w:t xml:space="preserve"> </w:t>
            </w:r>
            <w:r w:rsidRPr="00C239C2">
              <w:t>о</w:t>
            </w:r>
            <w:r w:rsidRPr="00C239C2">
              <w:t xml:space="preserve"> </w:t>
            </w:r>
            <w:r w:rsidRPr="00C239C2">
              <w:t>рефинансировании</w:t>
            </w:r>
            <w:r w:rsidRPr="00C239C2">
              <w:t xml:space="preserve"> </w:t>
            </w:r>
            <w:r w:rsidRPr="00C239C2">
              <w:t>поступают</w:t>
            </w:r>
            <w:r w:rsidRPr="00C239C2">
              <w:t xml:space="preserve"> </w:t>
            </w:r>
            <w:r w:rsidRPr="00C239C2">
              <w:t>добросовестным заемщикам с хорошим финансовым положением, кредитная организация</w:t>
            </w:r>
            <w:r w:rsidRPr="00C239C2">
              <w:t xml:space="preserve"> </w:t>
            </w:r>
            <w:r w:rsidRPr="00C239C2">
              <w:t>должна располагать документами,</w:t>
            </w:r>
            <w:r w:rsidRPr="00C239C2">
              <w:t xml:space="preserve"> </w:t>
            </w:r>
            <w:r w:rsidRPr="00C239C2">
              <w:t>подтверждающими сделанные выводы.</w:t>
            </w:r>
          </w:p>
        </w:tc>
      </w:tr>
      <w:tr w:rsidR="00574281" w:rsidTr="00574281">
        <w:tc>
          <w:tcPr>
            <w:tcW w:w="704" w:type="dxa"/>
          </w:tcPr>
          <w:p w:rsidR="00574281" w:rsidRPr="00C239C2" w:rsidRDefault="00E94D91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88" w:type="dxa"/>
          </w:tcPr>
          <w:p w:rsidR="00E94D91" w:rsidRPr="00C239C2" w:rsidRDefault="00E94D91" w:rsidP="00D6370F">
            <w:pPr>
              <w:pStyle w:val="a7"/>
              <w:shd w:val="clear" w:color="auto" w:fill="auto"/>
            </w:pPr>
            <w:r w:rsidRPr="00C239C2">
              <w:t xml:space="preserve">В соответствии с гл. 6 Положения 283-П в состав элементов расчетной базы резерва включаются резервы - оценочные обязательства </w:t>
            </w:r>
            <w:proofErr w:type="spellStart"/>
            <w:r w:rsidRPr="00C239C2">
              <w:t>некредитного</w:t>
            </w:r>
            <w:proofErr w:type="spellEnd"/>
            <w:r w:rsidRPr="00C239C2">
              <w:t xml:space="preserve"> характера. Согласно гл.4 Положения 283-П, по таким обязательствам формирование ПОТ не предусмотрено.</w:t>
            </w:r>
          </w:p>
          <w:p w:rsidR="00574281" w:rsidRPr="00C239C2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Кредитные организации просят рассмотреть возможность объединения таких требований в портфели при наличии признаков однородности, с целью снижения трудоемкости их сопровождения и формирования резервов. Данный вопрос особенно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>актуален для кредитных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>организаций, специализирующихся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>на розничном кредитовании</w:t>
            </w:r>
            <w:r w:rsidRPr="00C239C2">
              <w:rPr>
                <w:rFonts w:ascii="Times New Roman" w:hAnsi="Times New Roman" w:cs="Times New Roman"/>
              </w:rPr>
              <w:t xml:space="preserve"> </w:t>
            </w:r>
            <w:r w:rsidRPr="00C239C2">
              <w:rPr>
                <w:rFonts w:ascii="Times New Roman" w:hAnsi="Times New Roman" w:cs="Times New Roman"/>
              </w:rPr>
              <w:t>и, соответственно, имеющих большие статистические массивы данных.</w:t>
            </w:r>
          </w:p>
        </w:tc>
        <w:tc>
          <w:tcPr>
            <w:tcW w:w="6768" w:type="dxa"/>
          </w:tcPr>
          <w:p w:rsidR="00E94D91" w:rsidRPr="00C239C2" w:rsidRDefault="00E94D91" w:rsidP="00D6370F">
            <w:pPr>
              <w:pStyle w:val="a7"/>
              <w:shd w:val="clear" w:color="auto" w:fill="auto"/>
              <w:tabs>
                <w:tab w:val="left" w:pos="965"/>
                <w:tab w:val="left" w:pos="2779"/>
                <w:tab w:val="left" w:pos="3373"/>
                <w:tab w:val="left" w:pos="5803"/>
              </w:tabs>
            </w:pPr>
            <w:r w:rsidRPr="00C239C2">
              <w:t>Предложение не поддерживается.</w:t>
            </w:r>
          </w:p>
          <w:p w:rsidR="00574281" w:rsidRPr="00C239C2" w:rsidRDefault="00E94D91" w:rsidP="00D6370F">
            <w:pPr>
              <w:pStyle w:val="a7"/>
              <w:shd w:val="clear" w:color="auto" w:fill="auto"/>
              <w:tabs>
                <w:tab w:val="left" w:pos="965"/>
                <w:tab w:val="left" w:pos="2779"/>
                <w:tab w:val="left" w:pos="3373"/>
                <w:tab w:val="left" w:pos="5796"/>
              </w:tabs>
            </w:pPr>
            <w:r w:rsidRPr="00C239C2">
              <w:t>По мнению Банка России, в обычной деятельности кредитных организаций не должно возникать большого количества элементов расчетной</w:t>
            </w:r>
            <w:r w:rsidRPr="00C239C2">
              <w:t xml:space="preserve"> </w:t>
            </w:r>
            <w:r w:rsidRPr="00C239C2">
              <w:t>базы</w:t>
            </w:r>
            <w:r w:rsidRPr="00C239C2">
              <w:t xml:space="preserve"> </w:t>
            </w:r>
            <w:r w:rsidRPr="00C239C2">
              <w:t>резерва,</w:t>
            </w:r>
            <w:r w:rsidRPr="00C239C2">
              <w:t xml:space="preserve"> </w:t>
            </w:r>
            <w:r w:rsidRPr="00C239C2">
              <w:t>обусловленных</w:t>
            </w:r>
            <w:r w:rsidRPr="00C239C2">
              <w:t xml:space="preserve"> </w:t>
            </w:r>
            <w:r w:rsidRPr="00C239C2">
              <w:t>факторами</w:t>
            </w:r>
            <w:r w:rsidRPr="00C239C2">
              <w:t xml:space="preserve"> </w:t>
            </w:r>
            <w:r w:rsidRPr="00C239C2">
              <w:t>(обстоятельствами), предусмотренными главой 6 Положения № 283-П.</w:t>
            </w:r>
          </w:p>
        </w:tc>
      </w:tr>
      <w:tr w:rsidR="00E94D91" w:rsidTr="00574281">
        <w:tc>
          <w:tcPr>
            <w:tcW w:w="704" w:type="dxa"/>
          </w:tcPr>
          <w:p w:rsidR="00E94D91" w:rsidRPr="00C239C2" w:rsidRDefault="001073BE" w:rsidP="00574281">
            <w:pPr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88" w:type="dxa"/>
          </w:tcPr>
          <w:p w:rsidR="00472DC1" w:rsidRPr="00C239C2" w:rsidRDefault="00472DC1" w:rsidP="00D6370F">
            <w:pPr>
              <w:pStyle w:val="a7"/>
              <w:shd w:val="clear" w:color="auto" w:fill="auto"/>
            </w:pPr>
            <w:r w:rsidRPr="00C239C2">
              <w:t>По экономической природе банковские гарантии несут меньший риск, чем кредиты. Пунктом 5.1. Положения 590-П для ПОС предусмотрено, что в случае ухудшения оценки финансового положения заемщика до «плохого» включительно, кредитная организация вправе не исключать из соответствующего ПОС ссуду величиной до 5 000 000 рублей, предоставленную субъекту малого и среднего предпринимательства.</w:t>
            </w:r>
          </w:p>
          <w:p w:rsidR="00E94D91" w:rsidRPr="00C239C2" w:rsidRDefault="00472DC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В рамках совершенствования Положения 283-П (611-П), банки просят рассмотреть вопрос по условным обязательствам кредитного характера (банковским гарантиям) в части предоставления кредитным организациям права не исключать из ПОТ банковскую гарантию величиной до 5 000 000 рублей, предоставленную субъекту малого и среднего предпринимательства.</w:t>
            </w:r>
          </w:p>
        </w:tc>
        <w:tc>
          <w:tcPr>
            <w:tcW w:w="6768" w:type="dxa"/>
          </w:tcPr>
          <w:p w:rsidR="00E94D91" w:rsidRPr="00C239C2" w:rsidRDefault="00472DC1" w:rsidP="00D6370F">
            <w:pPr>
              <w:jc w:val="both"/>
              <w:rPr>
                <w:rFonts w:ascii="Times New Roman" w:hAnsi="Times New Roman" w:cs="Times New Roman"/>
              </w:rPr>
            </w:pPr>
            <w:r w:rsidRPr="00C239C2">
              <w:rPr>
                <w:rFonts w:ascii="Times New Roman" w:hAnsi="Times New Roman" w:cs="Times New Roman"/>
              </w:rPr>
              <w:t>В настоящее время готовится проект Указания о внесении изменений в Положение № 611-П, в котором данное предложение будет учтено.</w:t>
            </w:r>
          </w:p>
        </w:tc>
      </w:tr>
      <w:tr w:rsidR="00472DC1" w:rsidTr="00995E34">
        <w:tc>
          <w:tcPr>
            <w:tcW w:w="14560" w:type="dxa"/>
            <w:gridSpan w:val="3"/>
          </w:tcPr>
          <w:p w:rsidR="00472DC1" w:rsidRPr="00D6370F" w:rsidRDefault="00472DC1" w:rsidP="0047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70F">
              <w:rPr>
                <w:rFonts w:ascii="Times New Roman" w:hAnsi="Times New Roman" w:cs="Times New Roman"/>
                <w:b/>
              </w:rPr>
              <w:t>Вопросы по применению Положения № 590-П</w:t>
            </w:r>
          </w:p>
        </w:tc>
      </w:tr>
      <w:tr w:rsidR="00E94D91" w:rsidTr="00574281">
        <w:tc>
          <w:tcPr>
            <w:tcW w:w="704" w:type="dxa"/>
          </w:tcPr>
          <w:p w:rsidR="00E94D91" w:rsidRDefault="00476753" w:rsidP="00574281">
            <w:r>
              <w:t>15.</w:t>
            </w:r>
          </w:p>
        </w:tc>
        <w:tc>
          <w:tcPr>
            <w:tcW w:w="7088" w:type="dxa"/>
          </w:tcPr>
          <w:p w:rsidR="00476753" w:rsidRPr="00D6370F" w:rsidRDefault="00476753" w:rsidP="00D6370F">
            <w:pPr>
              <w:pStyle w:val="a7"/>
              <w:shd w:val="clear" w:color="auto" w:fill="auto"/>
            </w:pPr>
            <w:r w:rsidRPr="00D6370F">
              <w:t>Вправе ли банк при оценке качества обслуживания долга в соответствии с подпунктом 3.7.2.2 Положения 590-П не признавать ссуду реструктурированной если:</w:t>
            </w:r>
          </w:p>
          <w:p w:rsidR="00476753" w:rsidRPr="00D6370F" w:rsidRDefault="00476753" w:rsidP="00D6370F">
            <w:pPr>
              <w:pStyle w:val="a7"/>
              <w:shd w:val="clear" w:color="auto" w:fill="auto"/>
            </w:pPr>
            <w:r w:rsidRPr="00D6370F">
              <w:t>-</w:t>
            </w:r>
            <w:r w:rsidRPr="00D6370F">
              <w:t xml:space="preserve"> </w:t>
            </w:r>
            <w:r w:rsidRPr="00D6370F">
              <w:t xml:space="preserve">банком осуществлен зачет обязательств заемщика по второй части сделки РЕПО и его требований к банку по другим сделкам РЕПО - </w:t>
            </w:r>
            <w:proofErr w:type="spellStart"/>
            <w:r w:rsidRPr="00D6370F">
              <w:t>неттинг</w:t>
            </w:r>
            <w:proofErr w:type="spellEnd"/>
            <w:r w:rsidRPr="00D6370F">
              <w:t xml:space="preserve"> взаимных требований и обязательств, при условии фактической уплаты заемщиком за счет собственных средств, процентов, начисленных по сделке РЕПО, в ходе такого зачета;</w:t>
            </w:r>
          </w:p>
          <w:p w:rsidR="00476753" w:rsidRPr="00D6370F" w:rsidRDefault="00476753" w:rsidP="00D6370F">
            <w:pPr>
              <w:pStyle w:val="a7"/>
              <w:shd w:val="clear" w:color="auto" w:fill="auto"/>
            </w:pPr>
            <w:r w:rsidRPr="00D6370F">
              <w:t>-</w:t>
            </w:r>
            <w:r w:rsidRPr="00D6370F">
              <w:t xml:space="preserve"> </w:t>
            </w:r>
            <w:r w:rsidRPr="00D6370F">
              <w:t>произошло изменение срока отсрочки платежа по поставкам, требования по которым были уступлены банку заемщиком (поставщиком) по договору факторинга после истечения первоначально установленного срока отсрочки, и при этом такое изменение носит обоснованный характер;</w:t>
            </w:r>
          </w:p>
          <w:p w:rsidR="00E94D91" w:rsidRPr="00D6370F" w:rsidRDefault="00476753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lastRenderedPageBreak/>
              <w:t>-</w:t>
            </w:r>
            <w:r w:rsidRPr="00D6370F">
              <w:rPr>
                <w:rFonts w:ascii="Times New Roman" w:hAnsi="Times New Roman" w:cs="Times New Roman"/>
              </w:rPr>
              <w:t xml:space="preserve"> </w:t>
            </w:r>
            <w:r w:rsidRPr="00D6370F">
              <w:rPr>
                <w:rFonts w:ascii="Times New Roman" w:hAnsi="Times New Roman" w:cs="Times New Roman"/>
              </w:rPr>
              <w:t>произошло изменение валюты обязательств заемщика по кредитному договору.</w:t>
            </w:r>
          </w:p>
        </w:tc>
        <w:tc>
          <w:tcPr>
            <w:tcW w:w="6768" w:type="dxa"/>
          </w:tcPr>
          <w:p w:rsidR="00476753" w:rsidRPr="00D6370F" w:rsidRDefault="00476753" w:rsidP="00D6370F">
            <w:pPr>
              <w:pStyle w:val="a7"/>
              <w:shd w:val="clear" w:color="auto" w:fill="auto"/>
            </w:pPr>
            <w:r w:rsidRPr="00D6370F">
              <w:lastRenderedPageBreak/>
              <w:t>Если в первоначальном договоре не зафиксированы возможность рассматриваемых изменений и их параметры, такие ссуды являются реструктурированными.</w:t>
            </w:r>
          </w:p>
          <w:p w:rsidR="00E94D91" w:rsidRPr="00D6370F" w:rsidRDefault="00476753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Кредитная организация на основании п. 3.10 Положения № 590-П вправе принять решение о признании качества обслуживания долга хорошим при соблюдении всех требований данного пункта. При этом отмечаем, что в некоторых случаях могут приниматься «общие» решения в отношении группы ссуд с однородным характером изменений, например, изменение процентной ставки, обусловленное снижением ключевой ставки Банка России.</w:t>
            </w:r>
          </w:p>
        </w:tc>
      </w:tr>
      <w:tr w:rsidR="00E94D91" w:rsidTr="00574281">
        <w:tc>
          <w:tcPr>
            <w:tcW w:w="704" w:type="dxa"/>
          </w:tcPr>
          <w:p w:rsidR="00E94D91" w:rsidRDefault="00476753" w:rsidP="00574281">
            <w:r>
              <w:t>16.</w:t>
            </w:r>
          </w:p>
        </w:tc>
        <w:tc>
          <w:tcPr>
            <w:tcW w:w="7088" w:type="dxa"/>
          </w:tcPr>
          <w:p w:rsidR="00E94D91" w:rsidRPr="00D6370F" w:rsidRDefault="00476753" w:rsidP="00D6370F">
            <w:pPr>
              <w:pStyle w:val="a7"/>
              <w:shd w:val="clear" w:color="auto" w:fill="auto"/>
              <w:tabs>
                <w:tab w:val="left" w:pos="1818"/>
                <w:tab w:val="left" w:pos="2761"/>
                <w:tab w:val="left" w:pos="5130"/>
                <w:tab w:val="left" w:pos="6581"/>
              </w:tabs>
            </w:pPr>
            <w:r w:rsidRPr="00D6370F">
              <w:t>Учитывая специфику сделок факторинга, вправе ли банк формировать</w:t>
            </w:r>
            <w:r w:rsidRPr="00D6370F">
              <w:t xml:space="preserve"> </w:t>
            </w:r>
            <w:r w:rsidRPr="00D6370F">
              <w:t>одно</w:t>
            </w:r>
            <w:r w:rsidRPr="00D6370F">
              <w:t xml:space="preserve"> </w:t>
            </w:r>
            <w:r w:rsidRPr="00D6370F">
              <w:t>профессиональное</w:t>
            </w:r>
            <w:r w:rsidRPr="00D6370F">
              <w:t xml:space="preserve"> </w:t>
            </w:r>
            <w:r w:rsidRPr="00D6370F">
              <w:t>суждение</w:t>
            </w:r>
            <w:r w:rsidRPr="00D6370F">
              <w:t xml:space="preserve"> </w:t>
            </w:r>
            <w:r w:rsidRPr="00D6370F">
              <w:t>по</w:t>
            </w:r>
            <w:r w:rsidRPr="00D6370F">
              <w:t xml:space="preserve"> </w:t>
            </w:r>
            <w:r w:rsidRPr="00D6370F">
              <w:t>факторинговой сделке в отношении клиента (поставщика товаров</w:t>
            </w:r>
            <w:r w:rsidRPr="00D6370F">
              <w:t xml:space="preserve"> </w:t>
            </w:r>
            <w:r w:rsidRPr="00D6370F">
              <w:t>и услуг) в случае, если должниками банка в рамках данной факторинговой сделки являются несколько дебиторов по уступленным требованиям этого клиента (поставщика).</w:t>
            </w:r>
          </w:p>
        </w:tc>
        <w:tc>
          <w:tcPr>
            <w:tcW w:w="6768" w:type="dxa"/>
          </w:tcPr>
          <w:p w:rsidR="00E94D91" w:rsidRPr="00D6370F" w:rsidRDefault="00476753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Оценка кредитного риска по сделкам финансирования под уступку денежного требования (факторинга) осуществляется в отношении каждого должника (дебитора) Ба</w:t>
            </w:r>
            <w:r w:rsidRPr="00D6370F">
              <w:rPr>
                <w:rFonts w:ascii="Times New Roman" w:hAnsi="Times New Roman" w:cs="Times New Roman"/>
              </w:rPr>
              <w:t>н</w:t>
            </w:r>
            <w:r w:rsidRPr="00D6370F">
              <w:rPr>
                <w:rFonts w:ascii="Times New Roman" w:hAnsi="Times New Roman" w:cs="Times New Roman"/>
              </w:rPr>
              <w:t>ка. В связи с этим</w:t>
            </w:r>
            <w:r w:rsidRPr="00D6370F">
              <w:rPr>
                <w:rFonts w:ascii="Times New Roman" w:hAnsi="Times New Roman" w:cs="Times New Roman"/>
              </w:rPr>
              <w:t xml:space="preserve"> </w:t>
            </w:r>
            <w:r w:rsidRPr="00D6370F">
              <w:rPr>
                <w:rFonts w:ascii="Times New Roman" w:hAnsi="Times New Roman" w:cs="Times New Roman"/>
              </w:rPr>
              <w:t>формирование одного профессионального суждения по сделке с несколькими должниками (дебиторами) полагаем некорректным. Решением проблемы может быть группировка требований к должнику в ПОС при соблюдении всех требований главы 5 Положения № 590-П.</w:t>
            </w:r>
          </w:p>
        </w:tc>
      </w:tr>
      <w:tr w:rsidR="00E94D91" w:rsidTr="00574281">
        <w:tc>
          <w:tcPr>
            <w:tcW w:w="704" w:type="dxa"/>
          </w:tcPr>
          <w:p w:rsidR="00E94D91" w:rsidRDefault="00476753" w:rsidP="00574281">
            <w:r>
              <w:t>17.</w:t>
            </w:r>
          </w:p>
        </w:tc>
        <w:tc>
          <w:tcPr>
            <w:tcW w:w="7088" w:type="dxa"/>
          </w:tcPr>
          <w:p w:rsidR="00476753" w:rsidRPr="00D6370F" w:rsidRDefault="00476753" w:rsidP="00D6370F">
            <w:pPr>
              <w:pStyle w:val="a7"/>
              <w:shd w:val="clear" w:color="auto" w:fill="auto"/>
            </w:pPr>
            <w:r w:rsidRPr="00D6370F">
              <w:t>В целях оценки наличия обстоятельств, свидетельствующих о возможном отсутствии у заемщика-юридического лица реальной деятельности или осуществлении ее в незначительных объемах, банк в соответствии с подпунктом 3.12.2 Положения 590-П определяет ссуды, на которые не распространяются требования подпункта 3.12.1 Положения 590-П.</w:t>
            </w:r>
          </w:p>
          <w:p w:rsidR="00E94D91" w:rsidRPr="00D6370F" w:rsidRDefault="00476753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При этом верно ли полагать, что если одному заемщику предоставлено несколько ссуд, одна из которых соответствует любому из исключений, указанных в подпунктах 3.12.2.1 - 3.12.2.17 Положения 590-П, остальные ссуды при этом не соответствуют исключениям, указанным в подпунктах 3.12.2.1 - 3.12.2.17 Положения 590-П (так пункты 3.12.1, 3.12.3, 3.12.4, 3.12.7, 3.12.8, 3.12.10, 3.12.11, 3.12.12, 3.12.15, 3.12.16, 3.12.17 однозначно имеют отношение к заемщику в целом, а пункты 3.12.2, 3.12.5, 3.12.6, 3.12.9, 3.12.13, 3.12.14 могут иметь отношение только к конкретной ссуде), деятельность заемщика признается реальной?</w:t>
            </w:r>
          </w:p>
        </w:tc>
        <w:tc>
          <w:tcPr>
            <w:tcW w:w="6768" w:type="dxa"/>
          </w:tcPr>
          <w:p w:rsidR="00476753" w:rsidRPr="00D6370F" w:rsidRDefault="00476753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Если заемщику выдано несколько ссуд, одна из которых попадает под исключения пункта 3.12.2 Положения № 590-П, кредитная организация вправе не оценивать такого заемщика на осуществление им реальной деятельности по остальных ссудам, поскольку деятельность такого заемщика изначально признается реальной, независимо от количества ссуд ему предоставленных.</w:t>
            </w:r>
          </w:p>
          <w:p w:rsidR="00E94D91" w:rsidRPr="00D6370F" w:rsidRDefault="00E94D91" w:rsidP="00D63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4D91" w:rsidTr="00574281">
        <w:tc>
          <w:tcPr>
            <w:tcW w:w="704" w:type="dxa"/>
          </w:tcPr>
          <w:p w:rsidR="00E94D91" w:rsidRDefault="00171D6B" w:rsidP="00574281">
            <w:r>
              <w:t>18.</w:t>
            </w:r>
          </w:p>
        </w:tc>
        <w:tc>
          <w:tcPr>
            <w:tcW w:w="7088" w:type="dxa"/>
          </w:tcPr>
          <w:p w:rsidR="00171D6B" w:rsidRPr="00D6370F" w:rsidRDefault="00171D6B" w:rsidP="00D6370F">
            <w:pPr>
              <w:pStyle w:val="a7"/>
              <w:shd w:val="clear" w:color="auto" w:fill="auto"/>
            </w:pPr>
            <w:r w:rsidRPr="00D6370F">
              <w:t>Какой из вариантов использования минимальных уровней рейтингов кредитоспособности национальных рейтинговых агентств, в целях применения подпунктов 3.12.2.9, 3.12.2.15, 6.2.1, 6.2.4, 6.2.5, 6.3.1, 6.3.3, 6.5 Положения 590-П является верным:</w:t>
            </w:r>
          </w:p>
          <w:p w:rsidR="00E94D91" w:rsidRPr="00D6370F" w:rsidRDefault="00171D6B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• вариант 1: в целях применения подпунктов 3.12.2.9, 3.12.2.15, 6.2.1, 6.2.4, 6.2.5, 6.3.1, 6.3.3, 6.5 Положения 590-П банк руководствуется</w:t>
            </w:r>
            <w:r w:rsidRPr="00D6370F">
              <w:rPr>
                <w:rFonts w:ascii="Times New Roman" w:hAnsi="Times New Roman" w:cs="Times New Roman"/>
              </w:rPr>
              <w:t xml:space="preserve"> </w:t>
            </w:r>
            <w:r w:rsidRPr="00D6370F">
              <w:rPr>
                <w:rFonts w:ascii="Times New Roman" w:hAnsi="Times New Roman" w:cs="Times New Roman"/>
              </w:rPr>
              <w:t>информационным сообщением Банка России от 01 августа 2017 года «Об установлении перечня национальных рейтинговых агентств, а также минимальных уровней рейтингов кредитоспособности для каждого из включенных в указанный перечень агентств для целей Положения Банка России от 28 июня 2017 года № 590-Г1» (далее - Информационное сообщение);</w:t>
            </w:r>
          </w:p>
          <w:p w:rsidR="00171D6B" w:rsidRPr="00D6370F" w:rsidRDefault="00171D6B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вариант 2: в целях применения подпунктов 3.12.2.9, 3.12.2.15, 6.2.1, 6.2.4, 6.2.5, 6.3.1, 6.3.3, 6.5 Положения 590-П</w:t>
            </w:r>
            <w:r w:rsidRPr="00D6370F">
              <w:rPr>
                <w:rFonts w:ascii="Times New Roman" w:hAnsi="Times New Roman" w:cs="Times New Roman"/>
              </w:rPr>
              <w:tab/>
              <w:t xml:space="preserve">банк руководствуется </w:t>
            </w:r>
            <w:r w:rsidRPr="00D6370F">
              <w:rPr>
                <w:rFonts w:ascii="Times New Roman" w:hAnsi="Times New Roman" w:cs="Times New Roman"/>
              </w:rPr>
              <w:lastRenderedPageBreak/>
              <w:t>Информационным сообщением и может использовать установленные в Информационном</w:t>
            </w:r>
            <w:r w:rsidRPr="00D6370F">
              <w:rPr>
                <w:rFonts w:ascii="Times New Roman" w:hAnsi="Times New Roman" w:cs="Times New Roman"/>
              </w:rPr>
              <w:t xml:space="preserve"> </w:t>
            </w:r>
            <w:r w:rsidRPr="00D6370F">
              <w:rPr>
                <w:rFonts w:ascii="Times New Roman" w:hAnsi="Times New Roman" w:cs="Times New Roman"/>
              </w:rPr>
              <w:t>сообщении рейтинги кредитоспособности только при условии, что решение о присвоении рейтинга принято национальным рейтинговым агентством на основании методологии, соответствие которой требованиям Федерального закона от 13.07.2015 №222-ФЗ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 подтверждено Банком России.</w:t>
            </w:r>
          </w:p>
        </w:tc>
        <w:tc>
          <w:tcPr>
            <w:tcW w:w="6768" w:type="dxa"/>
          </w:tcPr>
          <w:p w:rsidR="00171D6B" w:rsidRPr="00D6370F" w:rsidRDefault="00171D6B" w:rsidP="00D6370F">
            <w:pPr>
              <w:pStyle w:val="a7"/>
              <w:shd w:val="clear" w:color="auto" w:fill="auto"/>
            </w:pPr>
            <w:r w:rsidRPr="00D6370F">
              <w:lastRenderedPageBreak/>
              <w:t>Верным является вариант 2.</w:t>
            </w:r>
          </w:p>
          <w:p w:rsidR="00E94D91" w:rsidRPr="00D6370F" w:rsidRDefault="00171D6B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Кредитные организации должна убедиться, что методика рейтинговых агентств, применяемая в отношении объектов рейтинга, подтверждена Банком России.</w:t>
            </w:r>
          </w:p>
        </w:tc>
      </w:tr>
      <w:tr w:rsidR="00E94D91" w:rsidTr="00574281">
        <w:tc>
          <w:tcPr>
            <w:tcW w:w="704" w:type="dxa"/>
          </w:tcPr>
          <w:p w:rsidR="00E94D91" w:rsidRDefault="001B22BC" w:rsidP="00574281">
            <w:r>
              <w:t>19.</w:t>
            </w:r>
          </w:p>
        </w:tc>
        <w:tc>
          <w:tcPr>
            <w:tcW w:w="7088" w:type="dxa"/>
          </w:tcPr>
          <w:p w:rsidR="001B22BC" w:rsidRPr="00D6370F" w:rsidRDefault="001B22BC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В настоящее время банки обязаны проводить оценку реальности деятельности заемщиков, а Положением 590-П приведен минимальный перечень необходимой информации от контрагентов (получить все необходимые документы зачастую непросто).</w:t>
            </w:r>
          </w:p>
          <w:p w:rsidR="001B22BC" w:rsidRPr="00D6370F" w:rsidRDefault="001B22BC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При этом в ряде случаев имеются явные признаки того, что деятельность контрагентов реальна: эмитенты ценных бумаг, ценные бумаги которых прошли процедуры листинга на биржах; инвестиционные компании, являющиеся профессиональными участниками рынка ценных бумаг, деятельность которых регулируется Банком России, а также правилами торгов Московской биржи; инвестиционные компании-нерезиденты, входящие в крупные международные группы и пр.).</w:t>
            </w:r>
          </w:p>
          <w:p w:rsidR="00E94D91" w:rsidRPr="00D6370F" w:rsidRDefault="001B22BC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Планирует ли Банк России ввести упрощенный порядок оценки реальности деятельности по отдельным категориям контрагентов-</w:t>
            </w:r>
            <w:r w:rsidRPr="00D6370F">
              <w:rPr>
                <w:rFonts w:ascii="Times New Roman" w:hAnsi="Times New Roman" w:cs="Times New Roman"/>
              </w:rPr>
              <w:t xml:space="preserve"> </w:t>
            </w:r>
            <w:r w:rsidRPr="00D6370F">
              <w:rPr>
                <w:rFonts w:ascii="Times New Roman" w:hAnsi="Times New Roman" w:cs="Times New Roman"/>
              </w:rPr>
              <w:t>участников финансового рынка? Учитываются ли надзорным органом данные обоснования банков при оценке риска?</w:t>
            </w:r>
          </w:p>
        </w:tc>
        <w:tc>
          <w:tcPr>
            <w:tcW w:w="6768" w:type="dxa"/>
          </w:tcPr>
          <w:p w:rsidR="001B22BC" w:rsidRPr="00D6370F" w:rsidRDefault="001B22BC" w:rsidP="00D6370F">
            <w:pPr>
              <w:pStyle w:val="a7"/>
              <w:shd w:val="clear" w:color="auto" w:fill="auto"/>
              <w:tabs>
                <w:tab w:val="left" w:pos="1940"/>
              </w:tabs>
            </w:pPr>
            <w:r w:rsidRPr="00D6370F">
              <w:t>Внесение каких-либо изменений в действующий порядок оценки реальности деятельности заемщиков не планируется. Вместе с тем, обращаем внимание, что в соответствии с пунктом 3.12.3 Положения № 590-П уполномоченный орган управления кредитной организации вправе принять решение о признании осуществляемой заемщиком деятельности реальной. Приведенные обоснования могут являться основанием для принятия кредитной организацией такого решения.</w:t>
            </w:r>
          </w:p>
          <w:p w:rsidR="00E94D91" w:rsidRPr="00D6370F" w:rsidRDefault="001B22BC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Банк России готов рассмотреть предложения по дополнению перечня исключений при предоставлении конкретных предложений и их обоснования.</w:t>
            </w:r>
          </w:p>
        </w:tc>
      </w:tr>
      <w:tr w:rsidR="00E94D91" w:rsidTr="00574281">
        <w:tc>
          <w:tcPr>
            <w:tcW w:w="704" w:type="dxa"/>
          </w:tcPr>
          <w:p w:rsidR="00E94D91" w:rsidRDefault="001B22BC" w:rsidP="00574281">
            <w:r>
              <w:t>20.</w:t>
            </w:r>
          </w:p>
        </w:tc>
        <w:tc>
          <w:tcPr>
            <w:tcW w:w="7088" w:type="dxa"/>
          </w:tcPr>
          <w:p w:rsidR="007A3486" w:rsidRPr="00D6370F" w:rsidRDefault="007A3486" w:rsidP="00D6370F">
            <w:pPr>
              <w:pStyle w:val="a7"/>
              <w:shd w:val="clear" w:color="auto" w:fill="auto"/>
            </w:pPr>
            <w:r w:rsidRPr="00D6370F">
              <w:t>Каким образом кредитным организациям оценивать требования (не являющиеся требованиями по субординированным инструментам) к банкам, в отношении которых проводится процедура финансового оздоровления за счет Фонда консолидации банковского сектора?</w:t>
            </w:r>
          </w:p>
          <w:p w:rsidR="00E94D91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 xml:space="preserve">С одной стороны, по формальным критериями финансовое положение таких банков оценивается как «плохое» (отрицательные чистые активы и т.п.), но с другой стороны, наличие в акционерах Банка </w:t>
            </w:r>
            <w:proofErr w:type="gramStart"/>
            <w:r w:rsidRPr="00D6370F">
              <w:rPr>
                <w:rFonts w:ascii="Times New Roman" w:hAnsi="Times New Roman" w:cs="Times New Roman"/>
              </w:rPr>
              <w:t>России по сути</w:t>
            </w:r>
            <w:proofErr w:type="gramEnd"/>
            <w:r w:rsidRPr="00D6370F">
              <w:rPr>
                <w:rFonts w:ascii="Times New Roman" w:hAnsi="Times New Roman" w:cs="Times New Roman"/>
              </w:rPr>
              <w:t xml:space="preserve"> снимает все риски к указанным контрагентам. Возможно ли отнесение требований к таким контрагентам к I категории качества без формирования резерва на основании наличия контролирующей доли у Банка России в указанных организациях и деятельности ФКБС?</w:t>
            </w:r>
          </w:p>
        </w:tc>
        <w:tc>
          <w:tcPr>
            <w:tcW w:w="6768" w:type="dxa"/>
          </w:tcPr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Сам по себе факт утверждения Плана участия Банка России в осуществлении мер по предупреждению банкротства (далее - План участия) Банка не может служить достаточным обоснованием для классификации требований к Банку в I категорию качества в целях Положения № 590-П.</w:t>
            </w: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Меры, принимаемые Банком России по предупреждению банкротства, позволят в более короткие сроки завершить процедуры по докапитализации Банка и вывести его в режим соблюдения общих регулятивных требований Банка России.</w:t>
            </w:r>
          </w:p>
          <w:p w:rsidR="00E94D91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 xml:space="preserve">В связи с этим при оценке кредитного риска следует учитывать всю имеющуюся в открытом доступе информацию о финансовой устойчивости Банка (в частности, данные раскрываемой Банком финансовой (бухгалтерской) отчетности с показателями, </w:t>
            </w:r>
            <w:r w:rsidRPr="00D6370F">
              <w:rPr>
                <w:rFonts w:ascii="Times New Roman" w:hAnsi="Times New Roman" w:cs="Times New Roman"/>
              </w:rPr>
              <w:lastRenderedPageBreak/>
              <w:t>сложившимися с участием Банка России, а также публикуемую на официальном сайте Банка России информацию о реализации мер по повышению финансовой устойчивости Банка.</w:t>
            </w:r>
          </w:p>
        </w:tc>
      </w:tr>
      <w:tr w:rsidR="00E94D91" w:rsidTr="00574281">
        <w:tc>
          <w:tcPr>
            <w:tcW w:w="704" w:type="dxa"/>
          </w:tcPr>
          <w:p w:rsidR="00E94D91" w:rsidRDefault="007A3486" w:rsidP="00574281">
            <w:r>
              <w:lastRenderedPageBreak/>
              <w:t>21.</w:t>
            </w:r>
          </w:p>
        </w:tc>
        <w:tc>
          <w:tcPr>
            <w:tcW w:w="7088" w:type="dxa"/>
          </w:tcPr>
          <w:p w:rsidR="007A3486" w:rsidRPr="00D6370F" w:rsidRDefault="007A3486" w:rsidP="00D6370F">
            <w:pPr>
              <w:pStyle w:val="a7"/>
              <w:shd w:val="clear" w:color="auto" w:fill="auto"/>
            </w:pPr>
            <w:r w:rsidRPr="00D6370F">
              <w:t>Банк просит пояснить порядок применения первого предложения абзаца четвертого и двадцать пятый абзац п. 5.1 Положения № 590-П, т.к. банк отмечает противоречие между указанными положениями, а именно: абзац двадцать пятый допускает не исключать из соответствующего ПОС ссуду величиной до 1 миллиона рублей, предоставленную физическому лицу (кроме ипотечной жилищной ссуды) в случае ухудшения оценки финансового положения заемщика до плохого включительно, а абзац четвертый (предложение первое) данного пункта указывает на то, что ссуды должны исключаться из ПОС при наличии индивидуальных признаков обесценения и просрочки свыше 90 календарных дней, когда величина ссуды не превышает 0,01 процента от величины собственных средств (капитала) кредитной организации.</w:t>
            </w:r>
          </w:p>
          <w:p w:rsidR="00E94D91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Правильно ли понимать, что:</w:t>
            </w:r>
          </w:p>
          <w:p w:rsidR="007A3486" w:rsidRPr="00D6370F" w:rsidRDefault="007A3486" w:rsidP="00D6370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804"/>
              </w:tabs>
              <w:ind w:firstLine="308"/>
            </w:pPr>
            <w:r w:rsidRPr="00D6370F">
              <w:t>положения абзаца 4 п. 5.1. Положения 590-П применяются к ситуациям, когда у заемщика несколько ссуд, предоставляя банкам возможность проводить комбинированную оценку кредитного риска: индивидуальную оценку по одной/нескольким ссудам заемщика и оценку на портфельной основе по одной/нескольким ссудам заемщика;</w:t>
            </w:r>
          </w:p>
          <w:p w:rsidR="007A3486" w:rsidRPr="00D6370F" w:rsidRDefault="007A3486" w:rsidP="00D6370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804"/>
              </w:tabs>
              <w:ind w:firstLine="308"/>
            </w:pPr>
            <w:r w:rsidRPr="00D6370F">
              <w:t>когда величина ссуды не превышает 0,01 процента от величины собственных средств (капитала) кредитной организации в ситуации и оценка кредитного риска по ссуде (ссудам) заемщика - физического лица производится только на портфельной основе, при ухудшении оценки финансового положения заемщика до плохого включительно вне</w:t>
            </w:r>
            <w:r w:rsidRPr="00D6370F">
              <w:t xml:space="preserve"> </w:t>
            </w:r>
            <w:r w:rsidRPr="00D6370F">
              <w:t>зависимости</w:t>
            </w:r>
            <w:r w:rsidRPr="00D6370F">
              <w:t xml:space="preserve"> </w:t>
            </w:r>
            <w:r w:rsidRPr="00D6370F">
              <w:t>от продолжительности просроченной задолженности (ухудшение качества обслуживания долга не влияет на использование 25 абзаца п.5.1), банк вправе на основании абзаца двадцать пятого п. 5.1. Положения 590-П не исключать из ПОС ссуду (ссуды) такого заемщика, если величина ссуды не превышает 1 миллион рублей (кроме ипотечной жилищной ссуды), либо по ипотечной жилищной ссуде не превышает 6 миллионов рублей.</w:t>
            </w:r>
          </w:p>
        </w:tc>
        <w:tc>
          <w:tcPr>
            <w:tcW w:w="6768" w:type="dxa"/>
          </w:tcPr>
          <w:p w:rsidR="00E94D91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 xml:space="preserve">Требования </w:t>
            </w:r>
            <w:proofErr w:type="spellStart"/>
            <w:r w:rsidRPr="00D6370F">
              <w:rPr>
                <w:rFonts w:ascii="Times New Roman" w:hAnsi="Times New Roman" w:cs="Times New Roman"/>
              </w:rPr>
              <w:t>абз</w:t>
            </w:r>
            <w:proofErr w:type="spellEnd"/>
            <w:r w:rsidRPr="00D6370F">
              <w:rPr>
                <w:rFonts w:ascii="Times New Roman" w:hAnsi="Times New Roman" w:cs="Times New Roman"/>
              </w:rPr>
              <w:t xml:space="preserve">. 4 п.5.1 Положения № 590-П распространяется на ссуды, предоставленные юридическим лицами включенным в ПОС, а исключения, предусмотренные </w:t>
            </w:r>
            <w:proofErr w:type="spellStart"/>
            <w:r w:rsidRPr="00D6370F">
              <w:rPr>
                <w:rFonts w:ascii="Times New Roman" w:hAnsi="Times New Roman" w:cs="Times New Roman"/>
              </w:rPr>
              <w:t>абз</w:t>
            </w:r>
            <w:proofErr w:type="spellEnd"/>
            <w:r w:rsidRPr="00D6370F">
              <w:rPr>
                <w:rFonts w:ascii="Times New Roman" w:hAnsi="Times New Roman" w:cs="Times New Roman"/>
              </w:rPr>
              <w:t>. 6, 16, 25 относятся к ссудам, предоставленным физическим лицам и субъектам малого и среднего предпринимательства.</w:t>
            </w: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</w:p>
          <w:p w:rsidR="007A3486" w:rsidRPr="00D6370F" w:rsidRDefault="007A3486" w:rsidP="00D6370F">
            <w:pPr>
              <w:jc w:val="both"/>
              <w:rPr>
                <w:rFonts w:ascii="Times New Roman" w:hAnsi="Times New Roman" w:cs="Times New Roman"/>
              </w:rPr>
            </w:pPr>
          </w:p>
          <w:p w:rsidR="007A3486" w:rsidRPr="00D6370F" w:rsidRDefault="007A3486" w:rsidP="00D6370F">
            <w:pPr>
              <w:pStyle w:val="a7"/>
              <w:shd w:val="clear" w:color="auto" w:fill="auto"/>
              <w:tabs>
                <w:tab w:val="left" w:pos="1497"/>
                <w:tab w:val="left" w:pos="2786"/>
                <w:tab w:val="left" w:pos="3718"/>
                <w:tab w:val="left" w:pos="5964"/>
              </w:tabs>
            </w:pPr>
            <w:r w:rsidRPr="00D6370F">
              <w:t>При</w:t>
            </w:r>
            <w:r w:rsidRPr="00D6370F">
              <w:t xml:space="preserve"> </w:t>
            </w:r>
            <w:r w:rsidRPr="00D6370F">
              <w:t>наличии</w:t>
            </w:r>
            <w:r w:rsidRPr="00D6370F">
              <w:t xml:space="preserve"> </w:t>
            </w:r>
            <w:r w:rsidRPr="00D6370F">
              <w:t>ссуд,</w:t>
            </w:r>
            <w:r w:rsidRPr="00D6370F">
              <w:t xml:space="preserve"> </w:t>
            </w:r>
            <w:r w:rsidRPr="00D6370F">
              <w:t>предоставленных</w:t>
            </w:r>
            <w:r w:rsidRPr="00D6370F">
              <w:t xml:space="preserve"> </w:t>
            </w:r>
            <w:r w:rsidRPr="00D6370F">
              <w:t>заемщику,</w:t>
            </w:r>
            <w:r w:rsidRPr="00D6370F">
              <w:t xml:space="preserve"> </w:t>
            </w:r>
            <w:r w:rsidRPr="00D6370F">
              <w:t xml:space="preserve">классифицируемых на индивидуальной основе и имеющих признаки обесценения, ссуды данного заемщика, включенные в ПОС, </w:t>
            </w:r>
            <w:proofErr w:type="gramStart"/>
            <w:r w:rsidRPr="00D6370F">
              <w:t>величиной</w:t>
            </w:r>
            <w:proofErr w:type="gramEnd"/>
            <w:r w:rsidRPr="00D6370F">
              <w:t xml:space="preserve"> не превышающей 0,01% от величины собственных средств (капитала) кредитной организации (но не более 1 млн рублей) (при совокупной величине до 0,5 % от величины собственных средств (капитала), могут не исключаться из ПОС.</w:t>
            </w:r>
          </w:p>
          <w:p w:rsidR="007A3486" w:rsidRPr="00D6370F" w:rsidRDefault="007A3486" w:rsidP="00D6370F">
            <w:pPr>
              <w:pStyle w:val="a7"/>
              <w:shd w:val="clear" w:color="auto" w:fill="auto"/>
              <w:tabs>
                <w:tab w:val="left" w:pos="1246"/>
                <w:tab w:val="left" w:pos="3157"/>
                <w:tab w:val="left" w:pos="4270"/>
                <w:tab w:val="left" w:pos="4946"/>
                <w:tab w:val="left" w:pos="6674"/>
              </w:tabs>
            </w:pPr>
            <w:proofErr w:type="gramStart"/>
            <w:r w:rsidRPr="00D6370F">
              <w:t>Ссуды</w:t>
            </w:r>
            <w:proofErr w:type="gramEnd"/>
            <w:r w:rsidRPr="00D6370F">
              <w:t xml:space="preserve"> не превышающие 0,01 % от величины собственных средств (капитала) кредитной организации до 1 млн руб., до 6 млн руб. для ипотечной жилищной ссуды и до 5 млн руб. для субъектов МСП, в случае ухудшения оценки финансового положения заемщика до плохого</w:t>
            </w:r>
            <w:r w:rsidRPr="00D6370F">
              <w:t xml:space="preserve"> </w:t>
            </w:r>
            <w:r w:rsidRPr="00D6370F">
              <w:t>включительно</w:t>
            </w:r>
            <w:r w:rsidRPr="00D6370F">
              <w:t xml:space="preserve"> </w:t>
            </w:r>
            <w:r w:rsidRPr="00D6370F">
              <w:t>вправе</w:t>
            </w:r>
            <w:r w:rsidRPr="00D6370F">
              <w:t xml:space="preserve"> </w:t>
            </w:r>
            <w:r w:rsidRPr="00D6370F">
              <w:t>не</w:t>
            </w:r>
            <w:r w:rsidRPr="00D6370F">
              <w:t xml:space="preserve"> </w:t>
            </w:r>
            <w:r w:rsidRPr="00D6370F">
              <w:t>исключаться</w:t>
            </w:r>
            <w:r w:rsidRPr="00D6370F">
              <w:t xml:space="preserve"> </w:t>
            </w:r>
            <w:r w:rsidRPr="00D6370F">
              <w:t>из</w:t>
            </w:r>
            <w:r w:rsidRPr="00D6370F">
              <w:t xml:space="preserve"> </w:t>
            </w:r>
            <w:r w:rsidRPr="00D6370F">
              <w:t>соответствующего ПОС в соответствии с абзацем 25 пункта 5.1 Положения № 590-П.</w:t>
            </w:r>
          </w:p>
        </w:tc>
      </w:tr>
      <w:tr w:rsidR="00E94D91" w:rsidTr="00574281">
        <w:tc>
          <w:tcPr>
            <w:tcW w:w="704" w:type="dxa"/>
          </w:tcPr>
          <w:p w:rsidR="00E94D91" w:rsidRDefault="000C4E42" w:rsidP="00574281">
            <w:r>
              <w:t>22.</w:t>
            </w:r>
          </w:p>
        </w:tc>
        <w:tc>
          <w:tcPr>
            <w:tcW w:w="7088" w:type="dxa"/>
          </w:tcPr>
          <w:p w:rsidR="003F7DF8" w:rsidRPr="00D6370F" w:rsidRDefault="003F7DF8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Банк просит дать пояснения по порядку применения Положения № 590-П в части оценки кредитных рисков по ссудам физических лиц в целях формирования резерва по ПОС.</w:t>
            </w:r>
          </w:p>
          <w:p w:rsidR="003F7DF8" w:rsidRPr="00D6370F" w:rsidRDefault="003F7DF8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Исходя из разъяснений Банка России от 09.12.2010 № 15-1-3- 9/5848 следует, что:</w:t>
            </w:r>
          </w:p>
          <w:p w:rsidR="00B6656C" w:rsidRPr="00D6370F" w:rsidRDefault="003F7DF8" w:rsidP="00D6370F">
            <w:pPr>
              <w:pStyle w:val="a7"/>
              <w:shd w:val="clear" w:color="auto" w:fill="auto"/>
            </w:pPr>
            <w:r w:rsidRPr="00D6370F">
              <w:lastRenderedPageBreak/>
              <w:t>- возможен учет на портфельной основе пролонгированных (реструктурированных) на стандартных условиях ссуд (в соответствии с п. 5.1 Положения 590-П, исходя из того, что продолжительность просроченной задолженности должна определяться не с момента возникновения просроченной задолженности по реструктурированной ссуде, а с учетом длительности просроченной задолженности по первоначальной</w:t>
            </w:r>
            <w:r w:rsidR="00B6656C" w:rsidRPr="00D6370F">
              <w:t xml:space="preserve"> </w:t>
            </w:r>
            <w:r w:rsidR="00B6656C" w:rsidRPr="00D6370F">
              <w:t xml:space="preserve">ссуде), с формированием в рамках соответствующего ПОС </w:t>
            </w:r>
            <w:proofErr w:type="spellStart"/>
            <w:r w:rsidR="00B6656C" w:rsidRPr="00D6370F">
              <w:t>субпортфеля</w:t>
            </w:r>
            <w:proofErr w:type="spellEnd"/>
            <w:r w:rsidR="00B6656C" w:rsidRPr="00D6370F">
              <w:t xml:space="preserve"> с повышенным размером резерва, отражающим соответствующие риски. Аналогичная трактовка имеет место в разъяснениях Банка России от 10.12.2008 № 15-1-3-11/6812;</w:t>
            </w:r>
          </w:p>
          <w:p w:rsidR="00B6656C" w:rsidRPr="00D6370F" w:rsidRDefault="00B6656C" w:rsidP="00D6370F">
            <w:pPr>
              <w:pStyle w:val="a7"/>
              <w:shd w:val="clear" w:color="auto" w:fill="auto"/>
              <w:tabs>
                <w:tab w:val="left" w:pos="918"/>
              </w:tabs>
            </w:pPr>
            <w:r w:rsidRPr="00D6370F">
              <w:t xml:space="preserve">- </w:t>
            </w:r>
            <w:r w:rsidRPr="00D6370F">
              <w:t>уполномоченный орган управления (орган) кредитной организации</w:t>
            </w:r>
            <w:r w:rsidRPr="00D6370F">
              <w:t xml:space="preserve"> </w:t>
            </w:r>
            <w:r w:rsidRPr="00D6370F">
              <w:t>вправе</w:t>
            </w:r>
            <w:r w:rsidRPr="00D6370F">
              <w:t xml:space="preserve"> </w:t>
            </w:r>
            <w:r w:rsidRPr="00D6370F">
              <w:t>принять общие (генеральные) предварительные решения в соответствии с п. 3.10 Положения 590-П в отношении оценки качества обслуживания долга по таким ссудам и уточнения классификации ссуд.</w:t>
            </w:r>
          </w:p>
          <w:p w:rsidR="00B6656C" w:rsidRPr="00D6370F" w:rsidRDefault="00B6656C" w:rsidP="00D6370F">
            <w:pPr>
              <w:pStyle w:val="a7"/>
              <w:shd w:val="clear" w:color="auto" w:fill="auto"/>
              <w:ind w:firstLine="680"/>
            </w:pPr>
            <w:r w:rsidRPr="00D6370F">
              <w:t>Принимая во внимание вышеуказанное, возможность использования методологических разъяснений Департамента Банка России по применению Положения 254-П в отношении Положения 590-П (письмо от 02.10.2017 № 41-1-3-7/1165), а также тот факт, что:</w:t>
            </w:r>
          </w:p>
          <w:p w:rsidR="00B6656C" w:rsidRPr="00D6370F" w:rsidRDefault="00CD17F5" w:rsidP="00D6370F">
            <w:pPr>
              <w:pStyle w:val="a7"/>
              <w:shd w:val="clear" w:color="auto" w:fill="auto"/>
              <w:tabs>
                <w:tab w:val="left" w:pos="824"/>
              </w:tabs>
              <w:ind w:left="680"/>
            </w:pPr>
            <w:r w:rsidRPr="00D6370F">
              <w:t xml:space="preserve">- </w:t>
            </w:r>
            <w:r w:rsidR="00B6656C" w:rsidRPr="00D6370F">
              <w:t>главой 5 Положения 590-П не установлено прямого запрета на включение в ПОС реструктурированных ссуд:</w:t>
            </w:r>
          </w:p>
          <w:p w:rsidR="00B6656C" w:rsidRPr="00D6370F" w:rsidRDefault="00CD17F5" w:rsidP="00D6370F">
            <w:pPr>
              <w:pStyle w:val="a7"/>
              <w:shd w:val="clear" w:color="auto" w:fill="auto"/>
              <w:tabs>
                <w:tab w:val="left" w:pos="817"/>
              </w:tabs>
              <w:ind w:left="680"/>
            </w:pPr>
            <w:r w:rsidRPr="00D6370F">
              <w:t xml:space="preserve">- </w:t>
            </w:r>
            <w:r w:rsidR="00B6656C" w:rsidRPr="00D6370F">
              <w:t>на момент реструктуризации ссуды находятся в ПОС;</w:t>
            </w:r>
          </w:p>
          <w:p w:rsidR="00B6656C" w:rsidRPr="00D6370F" w:rsidRDefault="00CD17F5" w:rsidP="00D6370F">
            <w:pPr>
              <w:pStyle w:val="a7"/>
              <w:shd w:val="clear" w:color="auto" w:fill="auto"/>
              <w:tabs>
                <w:tab w:val="left" w:pos="824"/>
              </w:tabs>
              <w:ind w:left="680"/>
            </w:pPr>
            <w:r w:rsidRPr="00D6370F">
              <w:t xml:space="preserve">- </w:t>
            </w:r>
            <w:r w:rsidR="00B6656C" w:rsidRPr="00D6370F">
              <w:t>по общему подходу, возможно принятие уполномоченным органом управления банка решения о признании «хорошим» качества обслуживания долга по реструктурированным ссудам при оценке финансового положения заемщика не хуже «среднего»;</w:t>
            </w:r>
          </w:p>
          <w:p w:rsidR="00CD17F5" w:rsidRPr="00D6370F" w:rsidRDefault="00CD17F5" w:rsidP="00D6370F">
            <w:pPr>
              <w:pStyle w:val="a7"/>
              <w:shd w:val="clear" w:color="auto" w:fill="auto"/>
              <w:tabs>
                <w:tab w:val="left" w:pos="824"/>
              </w:tabs>
              <w:ind w:left="680"/>
            </w:pPr>
            <w:r w:rsidRPr="00D6370F">
              <w:t xml:space="preserve">- </w:t>
            </w:r>
            <w:r w:rsidR="00B6656C" w:rsidRPr="00D6370F">
              <w:t xml:space="preserve">планирует формирование ПОС с повышенным процентом резервирования, </w:t>
            </w:r>
          </w:p>
          <w:p w:rsidR="00E94D91" w:rsidRPr="00D6370F" w:rsidRDefault="00B6656C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банк просит подтвердить возможность использования в работе указанных разъяснений Банка России в целях формирования ПОС по реструктурированной задолженности</w:t>
            </w:r>
            <w:r w:rsidR="00CD17F5" w:rsidRPr="00D637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768" w:type="dxa"/>
          </w:tcPr>
          <w:p w:rsidR="00E94D91" w:rsidRPr="00D6370F" w:rsidRDefault="000C4E42" w:rsidP="00D6370F">
            <w:pPr>
              <w:pStyle w:val="a7"/>
              <w:shd w:val="clear" w:color="auto" w:fill="auto"/>
              <w:tabs>
                <w:tab w:val="left" w:pos="1987"/>
                <w:tab w:val="left" w:pos="3794"/>
                <w:tab w:val="left" w:pos="5814"/>
              </w:tabs>
            </w:pPr>
            <w:r w:rsidRPr="00D6370F">
              <w:lastRenderedPageBreak/>
              <w:t>Подтверждаем</w:t>
            </w:r>
            <w:r w:rsidRPr="00D6370F">
              <w:t xml:space="preserve"> </w:t>
            </w:r>
            <w:r w:rsidRPr="00D6370F">
              <w:t>возможность</w:t>
            </w:r>
            <w:r w:rsidRPr="00D6370F">
              <w:t xml:space="preserve"> </w:t>
            </w:r>
            <w:r w:rsidRPr="00D6370F">
              <w:t>использования</w:t>
            </w:r>
            <w:r w:rsidRPr="00D6370F">
              <w:t xml:space="preserve"> </w:t>
            </w:r>
            <w:r w:rsidRPr="00D6370F">
              <w:t>указанных</w:t>
            </w:r>
            <w:r w:rsidRPr="00D6370F">
              <w:t xml:space="preserve"> </w:t>
            </w:r>
            <w:r w:rsidRPr="00D6370F">
              <w:t xml:space="preserve">методологических разъяснений по применению Положения Банка России от 26.03.2004 № 254-П «О порядке формирования кредитными организациями резервов на возможные потери по ссудам, по ссудной и приравненной к ней задолженности» в отношении Положения Банка </w:t>
            </w:r>
            <w:r w:rsidRPr="00D6370F">
              <w:lastRenderedPageBreak/>
              <w:t>России от 28.06.2017 № 590-П «О порядке формирования кредитными организациями резервов на возможные потери по ссудам, ссудной и приравненной ней задолженности».</w:t>
            </w:r>
          </w:p>
        </w:tc>
      </w:tr>
      <w:tr w:rsidR="00E94D91" w:rsidTr="00574281">
        <w:tc>
          <w:tcPr>
            <w:tcW w:w="704" w:type="dxa"/>
          </w:tcPr>
          <w:p w:rsidR="00E94D91" w:rsidRDefault="00D6370F" w:rsidP="00574281">
            <w:r>
              <w:lastRenderedPageBreak/>
              <w:t xml:space="preserve">23. </w:t>
            </w:r>
          </w:p>
        </w:tc>
        <w:tc>
          <w:tcPr>
            <w:tcW w:w="7088" w:type="dxa"/>
          </w:tcPr>
          <w:p w:rsidR="00D6370F" w:rsidRPr="00D6370F" w:rsidRDefault="00D6370F" w:rsidP="00D6370F">
            <w:pPr>
              <w:pStyle w:val="a7"/>
              <w:shd w:val="clear" w:color="auto" w:fill="auto"/>
            </w:pPr>
            <w:r w:rsidRPr="00D6370F">
              <w:t>Кредитная организация просит подтвердить мнение, что количество дней просрочки для ПОС рассчитывается со дня, следующего за днем отражения размера просроченного платежа на счете учета просроченной задолженности.</w:t>
            </w:r>
          </w:p>
          <w:p w:rsidR="00E94D91" w:rsidRPr="00D6370F" w:rsidRDefault="00D6370F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t>Например, если срок исполнения обязательства клиента наступил 31.10.2017, то данная ссуда должна находиться в ПОС с просроченными платежами от 1 до 30 дней до 30.11.2017 и будет</w:t>
            </w:r>
            <w:r w:rsidRPr="00D6370F">
              <w:rPr>
                <w:rFonts w:ascii="Times New Roman" w:hAnsi="Times New Roman" w:cs="Times New Roman"/>
              </w:rPr>
              <w:t xml:space="preserve"> </w:t>
            </w:r>
            <w:r w:rsidRPr="00D6370F">
              <w:rPr>
                <w:rFonts w:ascii="Times New Roman" w:hAnsi="Times New Roman" w:cs="Times New Roman"/>
              </w:rPr>
              <w:t xml:space="preserve">перенесена в ПОС с </w:t>
            </w:r>
            <w:r w:rsidRPr="00D6370F">
              <w:rPr>
                <w:rFonts w:ascii="Times New Roman" w:hAnsi="Times New Roman" w:cs="Times New Roman"/>
              </w:rPr>
              <w:lastRenderedPageBreak/>
              <w:t>просроченными платежами от 31 до 90 дней на следующий день 01.12.2017. То есть при формировании резерва 30.11.2017 на конец дня (на отчетную дату 01.12.2017) банк вправе относить кредит в ПОС с просроченными платежами от 1 до 30 дней.</w:t>
            </w:r>
          </w:p>
        </w:tc>
        <w:tc>
          <w:tcPr>
            <w:tcW w:w="6768" w:type="dxa"/>
          </w:tcPr>
          <w:p w:rsidR="00E94D91" w:rsidRPr="00D6370F" w:rsidRDefault="00D6370F" w:rsidP="00D6370F">
            <w:pPr>
              <w:jc w:val="both"/>
              <w:rPr>
                <w:rFonts w:ascii="Times New Roman" w:hAnsi="Times New Roman" w:cs="Times New Roman"/>
              </w:rPr>
            </w:pPr>
            <w:r w:rsidRPr="00D6370F">
              <w:rPr>
                <w:rFonts w:ascii="Times New Roman" w:hAnsi="Times New Roman" w:cs="Times New Roman"/>
              </w:rPr>
              <w:lastRenderedPageBreak/>
              <w:t>В соответствии с Гражданским кодексом РФ длительность просрочки платежа следует определять со дня, следующего за днем погашения долга. Таким образом, подтверждаем корректность отнесения ссуды в ПОС с учетом просроченных платежей по ней в рассматриваемом примере, т.е. в ПОС с просрочкой от 1 до 30 дней.</w:t>
            </w:r>
          </w:p>
        </w:tc>
      </w:tr>
      <w:tr w:rsidR="00A07186" w:rsidTr="003326E6">
        <w:tc>
          <w:tcPr>
            <w:tcW w:w="14560" w:type="dxa"/>
            <w:gridSpan w:val="3"/>
          </w:tcPr>
          <w:p w:rsidR="00A07186" w:rsidRPr="00A07186" w:rsidRDefault="00A07186" w:rsidP="00A07186">
            <w:pPr>
              <w:pStyle w:val="a7"/>
              <w:shd w:val="clear" w:color="auto" w:fill="auto"/>
              <w:spacing w:after="260"/>
              <w:jc w:val="center"/>
              <w:rPr>
                <w:b/>
              </w:rPr>
            </w:pPr>
            <w:r w:rsidRPr="00A07186">
              <w:rPr>
                <w:b/>
              </w:rPr>
              <w:t>Вопросы по применению Положения 283-П</w:t>
            </w:r>
          </w:p>
        </w:tc>
      </w:tr>
      <w:tr w:rsidR="00E94D91" w:rsidTr="00574281">
        <w:tc>
          <w:tcPr>
            <w:tcW w:w="704" w:type="dxa"/>
          </w:tcPr>
          <w:p w:rsidR="00E94D91" w:rsidRDefault="00D6370F" w:rsidP="00574281">
            <w:r>
              <w:t>24.</w:t>
            </w:r>
          </w:p>
        </w:tc>
        <w:tc>
          <w:tcPr>
            <w:tcW w:w="7088" w:type="dxa"/>
          </w:tcPr>
          <w:p w:rsidR="00E94D91" w:rsidRPr="00A17BBD" w:rsidRDefault="00D6370F" w:rsidP="00A17BBD">
            <w:pPr>
              <w:jc w:val="both"/>
              <w:rPr>
                <w:rFonts w:ascii="Times New Roman" w:hAnsi="Times New Roman" w:cs="Times New Roman"/>
              </w:rPr>
            </w:pPr>
            <w:r w:rsidRPr="00A17BBD">
              <w:rPr>
                <w:rFonts w:ascii="Times New Roman" w:hAnsi="Times New Roman" w:cs="Times New Roman"/>
              </w:rPr>
              <w:t xml:space="preserve">Требованиями </w:t>
            </w:r>
            <w:proofErr w:type="spellStart"/>
            <w:r w:rsidRPr="00A17BBD">
              <w:rPr>
                <w:rFonts w:ascii="Times New Roman" w:hAnsi="Times New Roman" w:cs="Times New Roman"/>
              </w:rPr>
              <w:t>абз</w:t>
            </w:r>
            <w:proofErr w:type="spellEnd"/>
            <w:r w:rsidRPr="00A17BBD">
              <w:rPr>
                <w:rFonts w:ascii="Times New Roman" w:hAnsi="Times New Roman" w:cs="Times New Roman"/>
              </w:rPr>
              <w:t>. 3 п. 5.1. Положения 590-П предусмотрено, что банк не вправе включать в ПОС (должен исключать из ПОС) ссуду, по которой имеются индивидуальные признаки обесценения (финансовое положение заемщика и качество обслуживания долга по ссуде оценивается хуже, чем хорошее), за исключением случаев, предусмотренных абзацами шестым, шестнадцатым и двадцать пятым пункта 5.1 Положения 590-П. Кредитная организация просит подтвердить мнение, что основываясь на требованиях п. 4.5. Положения 283-П и п.5.1. Положения 590-П, банк вправе включать (не исключать из ПОТ) банковские гарантии с финансовым положением не хуже «среднего» принципала, являющегося субъектом малого и среднего</w:t>
            </w:r>
            <w:r w:rsidRPr="00A17BBD">
              <w:rPr>
                <w:rFonts w:ascii="Times New Roman" w:hAnsi="Times New Roman" w:cs="Times New Roman"/>
              </w:rPr>
              <w:t xml:space="preserve"> </w:t>
            </w:r>
            <w:r w:rsidRPr="00A17BBD">
              <w:rPr>
                <w:rFonts w:ascii="Times New Roman" w:hAnsi="Times New Roman" w:cs="Times New Roman"/>
              </w:rPr>
              <w:t>предпринимательства,</w:t>
            </w:r>
            <w:r w:rsidRPr="00A17BBD">
              <w:rPr>
                <w:rFonts w:ascii="Times New Roman" w:hAnsi="Times New Roman" w:cs="Times New Roman"/>
              </w:rPr>
              <w:t xml:space="preserve"> </w:t>
            </w:r>
            <w:r w:rsidRPr="00A17BBD">
              <w:rPr>
                <w:rFonts w:ascii="Times New Roman" w:hAnsi="Times New Roman" w:cs="Times New Roman"/>
              </w:rPr>
              <w:t>при отсутствии</w:t>
            </w:r>
            <w:r w:rsidRPr="00A17BBD">
              <w:rPr>
                <w:rFonts w:ascii="Times New Roman" w:hAnsi="Times New Roman" w:cs="Times New Roman"/>
              </w:rPr>
              <w:t xml:space="preserve"> </w:t>
            </w:r>
            <w:r w:rsidRPr="00A17BBD">
              <w:rPr>
                <w:rFonts w:ascii="Times New Roman" w:hAnsi="Times New Roman" w:cs="Times New Roman"/>
              </w:rPr>
              <w:t>иных индивидуальных признаков обесценения, в сумме до 5 миллионов рублей.</w:t>
            </w:r>
          </w:p>
        </w:tc>
        <w:tc>
          <w:tcPr>
            <w:tcW w:w="6768" w:type="dxa"/>
          </w:tcPr>
          <w:p w:rsidR="00D6370F" w:rsidRPr="00A17BBD" w:rsidRDefault="00D6370F" w:rsidP="00A17BBD">
            <w:pPr>
              <w:pStyle w:val="a7"/>
              <w:shd w:val="clear" w:color="auto" w:fill="auto"/>
              <w:spacing w:after="260"/>
            </w:pPr>
            <w:r w:rsidRPr="00A17BBD">
              <w:t>Действующее пороговое значение величины элементов расчетной базы резерва на возможные потери, в том числе относящихся к юридическим лицам и субъектам малого и среднего предпринимательства, которые могут не исключаться (включаться) из портфеля однородных требований (условных обязательств кредитного характера) при наличии индивидуальных признаков их обесценения, установлено в размере 1 млн руб.</w:t>
            </w:r>
          </w:p>
          <w:p w:rsidR="00E94D91" w:rsidRPr="00A17BBD" w:rsidRDefault="00D6370F" w:rsidP="00A17BBD">
            <w:pPr>
              <w:jc w:val="both"/>
              <w:rPr>
                <w:rFonts w:ascii="Times New Roman" w:hAnsi="Times New Roman" w:cs="Times New Roman"/>
              </w:rPr>
            </w:pPr>
            <w:r w:rsidRPr="00A17BBD">
              <w:rPr>
                <w:rFonts w:ascii="Times New Roman" w:hAnsi="Times New Roman" w:cs="Times New Roman"/>
              </w:rPr>
              <w:t>Одновременно сообщаем, что Банком России в настоящее время рассматривается вопрос о внесении соответствующих изменений в нормативный акт Банка России (см. выше комментарии).</w:t>
            </w:r>
          </w:p>
        </w:tc>
      </w:tr>
      <w:tr w:rsidR="00E94D91" w:rsidTr="00574281">
        <w:tc>
          <w:tcPr>
            <w:tcW w:w="704" w:type="dxa"/>
          </w:tcPr>
          <w:p w:rsidR="00E94D91" w:rsidRDefault="00D6370F" w:rsidP="00574281">
            <w:r>
              <w:t>25.</w:t>
            </w:r>
          </w:p>
        </w:tc>
        <w:tc>
          <w:tcPr>
            <w:tcW w:w="7088" w:type="dxa"/>
          </w:tcPr>
          <w:p w:rsidR="00A07186" w:rsidRPr="00A17BBD" w:rsidRDefault="00A07186" w:rsidP="00A17BBD">
            <w:pPr>
              <w:pStyle w:val="a7"/>
              <w:shd w:val="clear" w:color="auto" w:fill="auto"/>
            </w:pPr>
            <w:r w:rsidRPr="00A17BBD">
              <w:t>Внутренним нормативным документом банка предусмотрено формирование резерва по ПОТ банковских гарантий на основе анализа за прошлый период 6 месяцев сведений о доле выплат по предъявленным бенефициаром гарантиям. В расчет включаются все выплаты, вне зависимости от последующего возмещения принципалом расходов. Размер резерва по ПОТ банковских гарантий принимается равным отношению таких выплат к общей сумме гарантий, включенных в базовый портфель ПОТ банковских гарантий.</w:t>
            </w:r>
          </w:p>
          <w:p w:rsidR="00E94D91" w:rsidRPr="00A17BBD" w:rsidRDefault="00A07186" w:rsidP="00A17BBD">
            <w:pPr>
              <w:jc w:val="both"/>
              <w:rPr>
                <w:rFonts w:ascii="Times New Roman" w:hAnsi="Times New Roman" w:cs="Times New Roman"/>
              </w:rPr>
            </w:pPr>
            <w:r w:rsidRPr="00A17BBD">
              <w:rPr>
                <w:rFonts w:ascii="Times New Roman" w:hAnsi="Times New Roman" w:cs="Times New Roman"/>
              </w:rPr>
              <w:t>Кредитная организация просит подтвердить мнение, что по банковским гарантиям юридических лиц можно формировать ПОТ (с финансовым положением принципалов, оцениваемым как «хорошее») I категории качества с размером резерва 0% на основе анализа за прошлый период 6 месяцев (отсутствие выплат) при отсутствии иных индивидуальных признаков обесценения.</w:t>
            </w:r>
          </w:p>
        </w:tc>
        <w:tc>
          <w:tcPr>
            <w:tcW w:w="6768" w:type="dxa"/>
          </w:tcPr>
          <w:p w:rsidR="00A07186" w:rsidRPr="00A17BBD" w:rsidRDefault="00A07186" w:rsidP="00A17BBD">
            <w:pPr>
              <w:pStyle w:val="a7"/>
              <w:shd w:val="clear" w:color="auto" w:fill="auto"/>
            </w:pPr>
            <w:r w:rsidRPr="00A17BBD">
              <w:t>Кредитная организация вправе классифицировать в I категорию качества с размером резерва 0% портфель банковских гарантий, предоставленных юридических лицам, при отсутствии у принципала индивидуальных признаков обесценения.</w:t>
            </w:r>
          </w:p>
          <w:p w:rsidR="00E94D91" w:rsidRPr="00A17BBD" w:rsidRDefault="00A07186" w:rsidP="00A17BBD">
            <w:pPr>
              <w:jc w:val="both"/>
              <w:rPr>
                <w:rFonts w:ascii="Times New Roman" w:hAnsi="Times New Roman" w:cs="Times New Roman"/>
              </w:rPr>
            </w:pPr>
            <w:r w:rsidRPr="00A17BBD">
              <w:rPr>
                <w:rFonts w:ascii="Times New Roman" w:hAnsi="Times New Roman" w:cs="Times New Roman"/>
              </w:rPr>
              <w:t>При этом Положение № 283-П не предусматривает подход, в соответствии с которым размер резерва по портфелю банковских гарантий принимается равным отношению выплат по банковским гарантиям за последние 6 месяцев к общей сумме банковских гарантий, включенных в портфель.</w:t>
            </w:r>
          </w:p>
        </w:tc>
      </w:tr>
      <w:tr w:rsidR="00A07186" w:rsidTr="00435F9F">
        <w:tc>
          <w:tcPr>
            <w:tcW w:w="14560" w:type="dxa"/>
            <w:gridSpan w:val="3"/>
          </w:tcPr>
          <w:p w:rsidR="00A07186" w:rsidRPr="00A17BBD" w:rsidRDefault="00A07186" w:rsidP="00A07186">
            <w:pPr>
              <w:jc w:val="center"/>
              <w:rPr>
                <w:rFonts w:ascii="Times New Roman" w:hAnsi="Times New Roman" w:cs="Times New Roman"/>
              </w:rPr>
            </w:pPr>
            <w:r w:rsidRPr="00A17BBD">
              <w:rPr>
                <w:rFonts w:ascii="Times New Roman" w:hAnsi="Times New Roman" w:cs="Times New Roman"/>
                <w:b/>
              </w:rPr>
              <w:t>Вопросы по</w:t>
            </w:r>
            <w:r w:rsidRPr="00A17BBD">
              <w:rPr>
                <w:rFonts w:ascii="Times New Roman" w:hAnsi="Times New Roman" w:cs="Times New Roman"/>
                <w:b/>
              </w:rPr>
              <w:t xml:space="preserve"> внутренним процедурам оценки достаточности капитала (ВПОДК)</w:t>
            </w:r>
          </w:p>
        </w:tc>
      </w:tr>
      <w:tr w:rsidR="001B22BC" w:rsidTr="00574281">
        <w:tc>
          <w:tcPr>
            <w:tcW w:w="704" w:type="dxa"/>
          </w:tcPr>
          <w:p w:rsidR="001B22BC" w:rsidRDefault="0000334C" w:rsidP="00574281">
            <w:r>
              <w:t>26.</w:t>
            </w:r>
          </w:p>
        </w:tc>
        <w:tc>
          <w:tcPr>
            <w:tcW w:w="7088" w:type="dxa"/>
          </w:tcPr>
          <w:p w:rsidR="001B22BC" w:rsidRPr="00553002" w:rsidRDefault="0000334C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Когда планируется издание соответствующего нормативного акта о внесении изменений в Указание Банка России от 24.11.2016 № 4212-У «О перечне, формах и порядке составления и представления форм отчетности кредитных организаций в Центральный банк Российской </w:t>
            </w:r>
            <w:r w:rsidRPr="00553002">
              <w:rPr>
                <w:rFonts w:ascii="Times New Roman" w:hAnsi="Times New Roman" w:cs="Times New Roman"/>
              </w:rPr>
              <w:lastRenderedPageBreak/>
              <w:t>Федерации» и введение в действие отчетности по форме № 0409111 «Информация об организации внутренних процедур оценки достаточности капитала (ВПОДК) кредитных организаций и их результатах»?</w:t>
            </w:r>
          </w:p>
        </w:tc>
        <w:tc>
          <w:tcPr>
            <w:tcW w:w="6768" w:type="dxa"/>
          </w:tcPr>
          <w:p w:rsidR="001B22BC" w:rsidRPr="00553002" w:rsidRDefault="0000334C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lastRenderedPageBreak/>
              <w:t xml:space="preserve">В настоящее время прорабатывается вопрос об издании формы отчетности «Информация об организации внутренних процедур оценки достаточности капитала (ВПОДК) кредитных организаций и их результатах» в качестве отдельного нормативного акта. </w:t>
            </w:r>
            <w:r w:rsidRPr="00553002">
              <w:rPr>
                <w:rFonts w:ascii="Times New Roman" w:hAnsi="Times New Roman" w:cs="Times New Roman"/>
              </w:rPr>
              <w:lastRenderedPageBreak/>
              <w:t>Планируемый срок издания нормативного акта - первое полугодие 2018 года.</w:t>
            </w:r>
          </w:p>
        </w:tc>
      </w:tr>
      <w:tr w:rsidR="001B22BC" w:rsidTr="00574281">
        <w:tc>
          <w:tcPr>
            <w:tcW w:w="704" w:type="dxa"/>
          </w:tcPr>
          <w:p w:rsidR="001B22BC" w:rsidRDefault="0000334C" w:rsidP="00574281">
            <w:r>
              <w:lastRenderedPageBreak/>
              <w:t>27.</w:t>
            </w:r>
          </w:p>
        </w:tc>
        <w:tc>
          <w:tcPr>
            <w:tcW w:w="7088" w:type="dxa"/>
          </w:tcPr>
          <w:p w:rsidR="001B22BC" w:rsidRPr="00553002" w:rsidRDefault="0000334C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Каким образом Банк России рекомендует реализовать внедрение ВПОДК в кредитных организациях / дочерних кредитных организациях, находящихся в процессе санации (у данных организаций может отсутствовать капитал либо иметь отрицательное значение, соответственно, </w:t>
            </w:r>
            <w:proofErr w:type="spellStart"/>
            <w:r w:rsidRPr="00553002">
              <w:rPr>
                <w:rFonts w:ascii="Times New Roman" w:hAnsi="Times New Roman" w:cs="Times New Roman"/>
              </w:rPr>
              <w:t>аллокация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не возможна), а также ВПОДК по группе, в которую входит санируемый банк (совокупного капитала недостаточно для </w:t>
            </w:r>
            <w:proofErr w:type="spellStart"/>
            <w:r w:rsidRPr="00553002">
              <w:rPr>
                <w:rFonts w:ascii="Times New Roman" w:hAnsi="Times New Roman" w:cs="Times New Roman"/>
              </w:rPr>
              <w:t>аллокации</w:t>
            </w:r>
            <w:proofErr w:type="spellEnd"/>
            <w:r w:rsidRPr="00553002">
              <w:rPr>
                <w:rFonts w:ascii="Times New Roman" w:hAnsi="Times New Roman" w:cs="Times New Roman"/>
              </w:rPr>
              <w:t>, в связи с отрицательным капиталом дочерней организации)?</w:t>
            </w:r>
          </w:p>
        </w:tc>
        <w:tc>
          <w:tcPr>
            <w:tcW w:w="6768" w:type="dxa"/>
          </w:tcPr>
          <w:p w:rsidR="0000334C" w:rsidRPr="00553002" w:rsidRDefault="0000334C" w:rsidP="00553002">
            <w:pPr>
              <w:pStyle w:val="a7"/>
              <w:shd w:val="clear" w:color="auto" w:fill="auto"/>
              <w:tabs>
                <w:tab w:val="left" w:pos="511"/>
              </w:tabs>
            </w:pPr>
            <w:r w:rsidRPr="00553002">
              <w:t>Текущая редакция Указания Банка России от 15.04.2017 № 3624-У «О требованиях к системе управления рисками и капиталом кредитной организации и банковской группы» (далее - Указание № 3624-У) не предусматривает изъятия для кредитных организаций, в отношении которых проводится процедура финансового оздоровления.</w:t>
            </w:r>
          </w:p>
          <w:p w:rsidR="001B22BC" w:rsidRPr="00553002" w:rsidRDefault="0000334C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Показатели капитала и склонности к риску санируемой кредитной организации должны устанавливаться с учетом утвержденного плана финансового оздоровления.</w:t>
            </w:r>
          </w:p>
        </w:tc>
      </w:tr>
      <w:tr w:rsidR="001B22BC" w:rsidTr="00574281">
        <w:tc>
          <w:tcPr>
            <w:tcW w:w="704" w:type="dxa"/>
          </w:tcPr>
          <w:p w:rsidR="001B22BC" w:rsidRDefault="0000334C" w:rsidP="00574281">
            <w:r>
              <w:t>28.</w:t>
            </w:r>
          </w:p>
        </w:tc>
        <w:tc>
          <w:tcPr>
            <w:tcW w:w="7088" w:type="dxa"/>
          </w:tcPr>
          <w:p w:rsidR="0000334C" w:rsidRPr="00553002" w:rsidRDefault="0000334C" w:rsidP="00553002">
            <w:pPr>
              <w:pStyle w:val="a7"/>
              <w:shd w:val="clear" w:color="auto" w:fill="auto"/>
            </w:pPr>
            <w:r w:rsidRPr="00553002">
              <w:t>В Указании 3624-У, Указании Банка России от 07.08.2017 № 4481-У «О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группы» и ряде смежных нормативных документов Банка России отмечается тенденция к обособлению риска концентрации в отдельный тип риска со своими особенностями управления, раскрываемой отчетности.</w:t>
            </w:r>
          </w:p>
          <w:p w:rsidR="0000334C" w:rsidRPr="00553002" w:rsidRDefault="0000334C" w:rsidP="00553002">
            <w:pPr>
              <w:pStyle w:val="a7"/>
              <w:shd w:val="clear" w:color="auto" w:fill="auto"/>
              <w:tabs>
                <w:tab w:val="left" w:pos="1652"/>
                <w:tab w:val="left" w:pos="4270"/>
                <w:tab w:val="left" w:pos="5310"/>
              </w:tabs>
            </w:pPr>
            <w:r w:rsidRPr="00553002">
              <w:t>По мнению Банка России, необходимо ли в рамках ВПОДК выделять данный риск в отдельный или кредитная организация может управлять концентрацией в рамках управления каждым значимым риском? Необходимо ли утверждать лимиты капитала на покрытие риска концентрации и проведения отдельного стресс -тестирования риска концентрации?</w:t>
            </w:r>
          </w:p>
          <w:p w:rsidR="001B22BC" w:rsidRPr="00553002" w:rsidRDefault="0000334C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Допустимо ли объединение в один лимит на покрытие кредитного риска и риска концентрации?</w:t>
            </w:r>
          </w:p>
        </w:tc>
        <w:tc>
          <w:tcPr>
            <w:tcW w:w="6768" w:type="dxa"/>
          </w:tcPr>
          <w:p w:rsidR="00CF77DA" w:rsidRPr="00553002" w:rsidRDefault="00CF77DA" w:rsidP="00553002">
            <w:pPr>
              <w:pStyle w:val="a7"/>
              <w:shd w:val="clear" w:color="auto" w:fill="auto"/>
            </w:pPr>
            <w:r w:rsidRPr="00553002">
              <w:t>Согласно пункту 7.1 Главы 7 приложения к Указанию № 3624-У кредитная организация может учитывать проявление риска концентрации в рамках процедур управления значимыми рисками.</w:t>
            </w:r>
          </w:p>
          <w:p w:rsidR="00CF77DA" w:rsidRPr="00553002" w:rsidRDefault="00CF77DA" w:rsidP="00553002">
            <w:pPr>
              <w:pStyle w:val="a7"/>
              <w:shd w:val="clear" w:color="auto" w:fill="auto"/>
            </w:pPr>
            <w:r w:rsidRPr="00553002">
              <w:t>При этом в соответствии с подпунктом 4.9.1 Указания № 3624-У в отношении риска концентрации должны быть установлены процедуры оценки достаточности капитала либо методика определения требований к капиталу для покрытия данного вида риска. Оценка достаточности капитала либо определение требований к капиталу может осуществляться в отношении риска концентрации в целом, либо в отношении отдельных факторов его проявления в рамках управления значимыми рисками.</w:t>
            </w:r>
          </w:p>
          <w:p w:rsidR="001B22BC" w:rsidRPr="00553002" w:rsidRDefault="00CF77DA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В случае если кредитная организация учитывает факторы риска концентрации при стресс-тестировании иных значимых для нее рисков, она вправе не проводить отдельного стресс- тестирования риска концентрации.</w:t>
            </w:r>
          </w:p>
        </w:tc>
      </w:tr>
      <w:tr w:rsidR="001B22BC" w:rsidTr="00574281">
        <w:tc>
          <w:tcPr>
            <w:tcW w:w="704" w:type="dxa"/>
          </w:tcPr>
          <w:p w:rsidR="001B22BC" w:rsidRDefault="00CF77DA" w:rsidP="00574281">
            <w:r>
              <w:t>29.</w:t>
            </w:r>
          </w:p>
        </w:tc>
        <w:tc>
          <w:tcPr>
            <w:tcW w:w="7088" w:type="dxa"/>
          </w:tcPr>
          <w:p w:rsidR="001B22BC" w:rsidRPr="00553002" w:rsidRDefault="00CF77DA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Будут ли Банком России определены критерии </w:t>
            </w:r>
            <w:proofErr w:type="gramStart"/>
            <w:r w:rsidRPr="00553002">
              <w:rPr>
                <w:rFonts w:ascii="Times New Roman" w:hAnsi="Times New Roman" w:cs="Times New Roman"/>
              </w:rPr>
              <w:t>для стресс</w:t>
            </w:r>
            <w:proofErr w:type="gramEnd"/>
            <w:r w:rsidRPr="00553002">
              <w:rPr>
                <w:rFonts w:ascii="Times New Roman" w:hAnsi="Times New Roman" w:cs="Times New Roman"/>
              </w:rPr>
              <w:t>- тестирования (обязательный для всех банков сценарий) в рамках Указания 3624-У? Если да, то в какие сроки?</w:t>
            </w:r>
          </w:p>
        </w:tc>
        <w:tc>
          <w:tcPr>
            <w:tcW w:w="6768" w:type="dxa"/>
          </w:tcPr>
          <w:p w:rsidR="00CF77DA" w:rsidRPr="00553002" w:rsidRDefault="00CF77DA" w:rsidP="00553002">
            <w:pPr>
              <w:pStyle w:val="a7"/>
              <w:shd w:val="clear" w:color="auto" w:fill="auto"/>
              <w:ind w:right="140"/>
            </w:pPr>
            <w:r w:rsidRPr="00553002">
              <w:t xml:space="preserve">В настоящее время в Банке России осуществляется проект по разработке стандартизированной методики оценки качества ВПОДК группы и достаточности капитала банковской группы </w:t>
            </w:r>
            <w:r w:rsidRPr="00553002">
              <w:rPr>
                <w:lang w:bidi="en-US"/>
              </w:rPr>
              <w:t>(</w:t>
            </w:r>
            <w:r w:rsidRPr="00553002">
              <w:rPr>
                <w:lang w:val="en-US" w:bidi="en-US"/>
              </w:rPr>
              <w:t>SREP</w:t>
            </w:r>
            <w:r w:rsidRPr="00553002">
              <w:rPr>
                <w:lang w:bidi="en-US"/>
              </w:rPr>
              <w:t xml:space="preserve"> </w:t>
            </w:r>
            <w:r w:rsidRPr="00553002">
              <w:t>банковской группы).</w:t>
            </w:r>
          </w:p>
          <w:p w:rsidR="001B22BC" w:rsidRPr="00553002" w:rsidRDefault="00CF77DA" w:rsidP="00553002">
            <w:pPr>
              <w:pStyle w:val="a7"/>
              <w:shd w:val="clear" w:color="auto" w:fill="auto"/>
              <w:tabs>
                <w:tab w:val="left" w:pos="1688"/>
                <w:tab w:val="left" w:pos="3589"/>
                <w:tab w:val="left" w:pos="5357"/>
              </w:tabs>
              <w:ind w:right="140"/>
            </w:pPr>
            <w:r w:rsidRPr="00553002">
              <w:t>В рамках данной работы предусмотрена, в том числе, разработка детальных требований к стресс-тестированию, осуществляемому кредитными организациями (банковскими группами) в рамках ВПОДК, включая требования к методологии сценарного анализа и параметрам</w:t>
            </w:r>
            <w:r w:rsidRPr="00553002">
              <w:t xml:space="preserve"> </w:t>
            </w:r>
            <w:r w:rsidRPr="00553002">
              <w:t>применяемых</w:t>
            </w:r>
            <w:r w:rsidRPr="00553002">
              <w:t xml:space="preserve"> </w:t>
            </w:r>
            <w:r w:rsidRPr="00553002">
              <w:t>кредитными</w:t>
            </w:r>
            <w:r w:rsidRPr="00553002">
              <w:t xml:space="preserve"> </w:t>
            </w:r>
            <w:r w:rsidRPr="00553002">
              <w:t>организациями</w:t>
            </w:r>
            <w:r w:rsidRPr="00553002">
              <w:t xml:space="preserve"> </w:t>
            </w:r>
            <w:r w:rsidRPr="00553002">
              <w:t xml:space="preserve">сценариев. </w:t>
            </w:r>
            <w:r w:rsidRPr="00553002">
              <w:lastRenderedPageBreak/>
              <w:t>По результатам проекта Банк России планирует внесение изменений в Указание № 3624-У, регламентирующее требования к ВПОДК кредитных организаций, дополнив его требованиями к методологии стресс-тестирования и минимальным набором надзорных сценариев, с указанием их параметров, которые кредитная</w:t>
            </w:r>
            <w:r w:rsidRPr="00553002">
              <w:t xml:space="preserve"> </w:t>
            </w:r>
            <w:r w:rsidRPr="00553002">
              <w:t>организация</w:t>
            </w:r>
            <w:r w:rsidRPr="00553002">
              <w:t xml:space="preserve"> </w:t>
            </w:r>
            <w:r w:rsidRPr="00553002">
              <w:t>обязательно</w:t>
            </w:r>
            <w:r w:rsidRPr="00553002">
              <w:t xml:space="preserve"> </w:t>
            </w:r>
            <w:r w:rsidRPr="00553002">
              <w:t>должна использовать, а также требованием о предоставлении в Банк России результатов стресс-тестирования.</w:t>
            </w:r>
          </w:p>
        </w:tc>
      </w:tr>
      <w:tr w:rsidR="001B22BC" w:rsidTr="00574281">
        <w:tc>
          <w:tcPr>
            <w:tcW w:w="704" w:type="dxa"/>
          </w:tcPr>
          <w:p w:rsidR="001B22BC" w:rsidRDefault="001607B4" w:rsidP="00574281">
            <w:r>
              <w:lastRenderedPageBreak/>
              <w:t>30.</w:t>
            </w:r>
          </w:p>
        </w:tc>
        <w:tc>
          <w:tcPr>
            <w:tcW w:w="7088" w:type="dxa"/>
          </w:tcPr>
          <w:p w:rsidR="001B22BC" w:rsidRPr="00553002" w:rsidRDefault="001607B4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Какой порядок получения разрешения Банка России на использование банком продвинутого подхода </w:t>
            </w:r>
            <w:r w:rsidRPr="00553002">
              <w:rPr>
                <w:rFonts w:ascii="Times New Roman" w:hAnsi="Times New Roman" w:cs="Times New Roman"/>
                <w:lang w:bidi="en-US"/>
              </w:rPr>
              <w:t>«</w:t>
            </w:r>
            <w:r w:rsidRPr="00553002">
              <w:rPr>
                <w:rFonts w:ascii="Times New Roman" w:hAnsi="Times New Roman" w:cs="Times New Roman"/>
                <w:lang w:val="en-US" w:bidi="en-US"/>
              </w:rPr>
              <w:t>Advanced</w:t>
            </w:r>
            <w:r w:rsidRPr="00553002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553002">
              <w:rPr>
                <w:rFonts w:ascii="Times New Roman" w:hAnsi="Times New Roman" w:cs="Times New Roman"/>
                <w:lang w:val="en-US" w:bidi="en-US"/>
              </w:rPr>
              <w:t>Measurement</w:t>
            </w:r>
            <w:r w:rsidRPr="00553002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553002">
              <w:rPr>
                <w:rFonts w:ascii="Times New Roman" w:hAnsi="Times New Roman" w:cs="Times New Roman"/>
                <w:lang w:val="en-US" w:bidi="en-US"/>
              </w:rPr>
              <w:t>Approach</w:t>
            </w:r>
            <w:r w:rsidRPr="00553002">
              <w:rPr>
                <w:rFonts w:ascii="Times New Roman" w:hAnsi="Times New Roman" w:cs="Times New Roman"/>
                <w:lang w:bidi="en-US"/>
              </w:rPr>
              <w:t xml:space="preserve">» </w:t>
            </w:r>
            <w:r w:rsidRPr="00553002">
              <w:rPr>
                <w:rFonts w:ascii="Times New Roman" w:hAnsi="Times New Roman" w:cs="Times New Roman"/>
              </w:rPr>
              <w:t>(АМА) при расчете величины капитала под операционный риск?</w:t>
            </w:r>
          </w:p>
        </w:tc>
        <w:tc>
          <w:tcPr>
            <w:tcW w:w="6768" w:type="dxa"/>
          </w:tcPr>
          <w:p w:rsidR="001B22BC" w:rsidRPr="00553002" w:rsidRDefault="001607B4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В декабре 2017 г. </w:t>
            </w:r>
            <w:proofErr w:type="spellStart"/>
            <w:r w:rsidRPr="00553002">
              <w:rPr>
                <w:rFonts w:ascii="Times New Roman" w:hAnsi="Times New Roman" w:cs="Times New Roman"/>
              </w:rPr>
              <w:t>Базельским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комитетом по банковскому надзору был выпущен новый стандарт</w:t>
            </w:r>
            <w:r w:rsidRPr="00553002">
              <w:rPr>
                <w:rStyle w:val="aa"/>
                <w:rFonts w:ascii="Times New Roman" w:hAnsi="Times New Roman" w:cs="Times New Roman"/>
              </w:rPr>
              <w:footnoteReference w:id="2"/>
            </w:r>
            <w:r w:rsidRPr="00553002">
              <w:rPr>
                <w:rFonts w:ascii="Times New Roman" w:hAnsi="Times New Roman" w:cs="Times New Roman"/>
              </w:rPr>
              <w:t>, определяющий подходы к реализации положений «Базеля III» для расчета нормативов достаточности капитала, включая оценку операционного риска. При этом применение продвинутых подходов «Базеля II» к оценке операционного риска (АМА) с 2022 г. отменяется. В связи с этим Банк России не планирует внедрение в российском банковском регулировании данных подходов.</w:t>
            </w:r>
          </w:p>
        </w:tc>
      </w:tr>
      <w:tr w:rsidR="001B22BC" w:rsidTr="00574281">
        <w:tc>
          <w:tcPr>
            <w:tcW w:w="704" w:type="dxa"/>
          </w:tcPr>
          <w:p w:rsidR="001B22BC" w:rsidRDefault="00107995" w:rsidP="00574281">
            <w:r>
              <w:t>31.</w:t>
            </w:r>
          </w:p>
        </w:tc>
        <w:tc>
          <w:tcPr>
            <w:tcW w:w="7088" w:type="dxa"/>
          </w:tcPr>
          <w:p w:rsidR="00107995" w:rsidRPr="00553002" w:rsidRDefault="00107995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В марте 2016 года </w:t>
            </w:r>
            <w:proofErr w:type="spellStart"/>
            <w:r w:rsidRPr="00553002">
              <w:rPr>
                <w:rFonts w:ascii="Times New Roman" w:hAnsi="Times New Roman" w:cs="Times New Roman"/>
              </w:rPr>
              <w:t>Базельский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комитет по банковскому надзору (БКБН) выпустил консультативный документ касательно применения стандартизированного подхода для измерения операционного риска «</w:t>
            </w:r>
            <w:proofErr w:type="spellStart"/>
            <w:r w:rsidRPr="00553002">
              <w:rPr>
                <w:rFonts w:ascii="Times New Roman" w:hAnsi="Times New Roman" w:cs="Times New Roman"/>
              </w:rPr>
              <w:t>Standardised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002">
              <w:rPr>
                <w:rFonts w:ascii="Times New Roman" w:hAnsi="Times New Roman" w:cs="Times New Roman"/>
              </w:rPr>
              <w:t>Measurement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002">
              <w:rPr>
                <w:rFonts w:ascii="Times New Roman" w:hAnsi="Times New Roman" w:cs="Times New Roman"/>
              </w:rPr>
              <w:t>Approach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002">
              <w:rPr>
                <w:rFonts w:ascii="Times New Roman" w:hAnsi="Times New Roman" w:cs="Times New Roman"/>
              </w:rPr>
              <w:t>for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002">
              <w:rPr>
                <w:rFonts w:ascii="Times New Roman" w:hAnsi="Times New Roman" w:cs="Times New Roman"/>
              </w:rPr>
              <w:t>operational</w:t>
            </w:r>
            <w:proofErr w:type="spellEnd"/>
            <w:r w:rsidRPr="00553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002">
              <w:rPr>
                <w:rFonts w:ascii="Times New Roman" w:hAnsi="Times New Roman" w:cs="Times New Roman"/>
              </w:rPr>
              <w:t>risk</w:t>
            </w:r>
            <w:proofErr w:type="spellEnd"/>
            <w:r w:rsidRPr="00553002">
              <w:rPr>
                <w:rFonts w:ascii="Times New Roman" w:hAnsi="Times New Roman" w:cs="Times New Roman"/>
              </w:rPr>
              <w:t>» (SMA).</w:t>
            </w:r>
          </w:p>
          <w:p w:rsidR="001B22BC" w:rsidRPr="00553002" w:rsidRDefault="00107995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Планирует ли Банк России разработать рекомендаций для кредитных организаций по применению данного документа БКБН в целях выполнения требований ВПОДК в части оценки операционного риска и расчета размера операционного риска</w:t>
            </w:r>
            <w:r w:rsidRPr="00553002">
              <w:rPr>
                <w:rFonts w:ascii="Times New Roman" w:hAnsi="Times New Roman" w:cs="Times New Roman"/>
              </w:rPr>
              <w:t xml:space="preserve"> </w:t>
            </w:r>
            <w:r w:rsidRPr="00553002">
              <w:rPr>
                <w:rFonts w:ascii="Times New Roman" w:hAnsi="Times New Roman" w:cs="Times New Roman"/>
              </w:rPr>
              <w:t>для определения достаточности капитала?</w:t>
            </w:r>
          </w:p>
        </w:tc>
        <w:tc>
          <w:tcPr>
            <w:tcW w:w="6768" w:type="dxa"/>
          </w:tcPr>
          <w:p w:rsidR="00107995" w:rsidRPr="00553002" w:rsidRDefault="00107995" w:rsidP="00553002">
            <w:pPr>
              <w:pStyle w:val="a7"/>
              <w:shd w:val="clear" w:color="auto" w:fill="auto"/>
            </w:pPr>
            <w:r w:rsidRPr="00553002">
              <w:t>Применение нового стандартизированного подхода для измерения операционного риска («</w:t>
            </w:r>
            <w:proofErr w:type="spellStart"/>
            <w:r w:rsidRPr="00553002">
              <w:t>Standardised</w:t>
            </w:r>
            <w:proofErr w:type="spellEnd"/>
            <w:r w:rsidRPr="00553002">
              <w:t xml:space="preserve"> </w:t>
            </w:r>
            <w:proofErr w:type="spellStart"/>
            <w:r w:rsidRPr="00553002">
              <w:t>Measurement</w:t>
            </w:r>
            <w:proofErr w:type="spellEnd"/>
            <w:r w:rsidRPr="00553002">
              <w:t xml:space="preserve"> </w:t>
            </w:r>
            <w:proofErr w:type="spellStart"/>
            <w:r w:rsidRPr="00553002">
              <w:t>Approach</w:t>
            </w:r>
            <w:proofErr w:type="spellEnd"/>
            <w:r w:rsidRPr="00553002">
              <w:t xml:space="preserve"> </w:t>
            </w:r>
            <w:proofErr w:type="spellStart"/>
            <w:r w:rsidRPr="00553002">
              <w:t>for</w:t>
            </w:r>
            <w:proofErr w:type="spellEnd"/>
            <w:r w:rsidRPr="00553002">
              <w:t xml:space="preserve"> </w:t>
            </w:r>
            <w:proofErr w:type="spellStart"/>
            <w:r w:rsidRPr="00553002">
              <w:t>operational</w:t>
            </w:r>
            <w:proofErr w:type="spellEnd"/>
            <w:r w:rsidRPr="00553002">
              <w:t xml:space="preserve"> </w:t>
            </w:r>
            <w:proofErr w:type="spellStart"/>
            <w:r w:rsidRPr="00553002">
              <w:t>risk</w:t>
            </w:r>
            <w:proofErr w:type="spellEnd"/>
            <w:r w:rsidRPr="00553002">
              <w:t xml:space="preserve">» (SMA) запланировано </w:t>
            </w:r>
            <w:proofErr w:type="spellStart"/>
            <w:r w:rsidRPr="00553002">
              <w:t>Базельским</w:t>
            </w:r>
            <w:proofErr w:type="spellEnd"/>
            <w:r w:rsidRPr="00553002">
              <w:t xml:space="preserve"> комитетом по банковскому надзору с 1 января 2022 г. С целью соответствия международным подходам Банк России планирует издать новый нормативный акт о применении SMA кредитными организациями. Его проект будет опубликован для рассмотрения банковским сообществом в установленном порядке. Учитывая, что SMA подход использует так называемый «компонент убытков» (</w:t>
            </w:r>
            <w:proofErr w:type="spellStart"/>
            <w:r w:rsidRPr="00553002">
              <w:t>Loss</w:t>
            </w:r>
            <w:proofErr w:type="spellEnd"/>
            <w:r w:rsidRPr="00553002">
              <w:t xml:space="preserve"> </w:t>
            </w:r>
            <w:proofErr w:type="spellStart"/>
            <w:r w:rsidRPr="00553002">
              <w:t>Component</w:t>
            </w:r>
            <w:proofErr w:type="spellEnd"/>
            <w:r w:rsidRPr="00553002">
              <w:t xml:space="preserve">, </w:t>
            </w:r>
            <w:r w:rsidRPr="00553002">
              <w:rPr>
                <w:lang w:val="en-US" w:bidi="en-US"/>
              </w:rPr>
              <w:t>LC</w:t>
            </w:r>
            <w:r w:rsidRPr="00553002">
              <w:rPr>
                <w:lang w:bidi="en-US"/>
              </w:rPr>
              <w:t xml:space="preserve">), </w:t>
            </w:r>
            <w:r w:rsidRPr="00553002">
              <w:t>Банк России планирует заблаговременно опубликовать требования к базе данных об операционных рисках и ее ведению. Указанные требования планируется ввести в рамках Указания Банка России от 15.04.2015 № 3624-У «О требованиях к системе управления рисками и капиталом кредитной организации и банковской группы».</w:t>
            </w:r>
          </w:p>
          <w:p w:rsidR="00107995" w:rsidRPr="00553002" w:rsidRDefault="00107995" w:rsidP="00553002">
            <w:pPr>
              <w:pStyle w:val="a7"/>
              <w:shd w:val="clear" w:color="auto" w:fill="auto"/>
            </w:pPr>
            <w:r w:rsidRPr="00553002">
              <w:t>До принятия БКБН финального документа расчет размера операционного риска будет осуществляться на основании действующего подхода.</w:t>
            </w:r>
          </w:p>
          <w:p w:rsidR="001B22BC" w:rsidRPr="00553002" w:rsidRDefault="00107995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В настоящее время приняты изменения в Положение № 346-П, которые уточняют подход к расчету показателя дохода за финансовый год, а также актуализирует статьи доходов, включаемых в расчет </w:t>
            </w:r>
            <w:r w:rsidRPr="00553002">
              <w:rPr>
                <w:rFonts w:ascii="Times New Roman" w:hAnsi="Times New Roman" w:cs="Times New Roman"/>
              </w:rPr>
              <w:lastRenderedPageBreak/>
              <w:t>данного показателя, с учетом порядка составления формы 0409807 «Отчет о финансовых результатах (публикуемая форма)».</w:t>
            </w:r>
          </w:p>
        </w:tc>
      </w:tr>
      <w:tr w:rsidR="001B22BC" w:rsidTr="00574281">
        <w:tc>
          <w:tcPr>
            <w:tcW w:w="704" w:type="dxa"/>
          </w:tcPr>
          <w:p w:rsidR="001B22BC" w:rsidRDefault="00553002" w:rsidP="00574281">
            <w:r>
              <w:lastRenderedPageBreak/>
              <w:t>32.</w:t>
            </w:r>
          </w:p>
        </w:tc>
        <w:tc>
          <w:tcPr>
            <w:tcW w:w="7088" w:type="dxa"/>
          </w:tcPr>
          <w:p w:rsidR="00553002" w:rsidRPr="00553002" w:rsidRDefault="00553002" w:rsidP="00553002">
            <w:pPr>
              <w:pStyle w:val="a7"/>
              <w:shd w:val="clear" w:color="auto" w:fill="auto"/>
              <w:spacing w:after="60"/>
              <w:ind w:firstLine="140"/>
            </w:pPr>
            <w:r w:rsidRPr="00553002">
              <w:t xml:space="preserve">Согласно п.3.6 Указания 3624-У </w:t>
            </w:r>
            <w:r w:rsidRPr="00553002">
              <w:rPr>
                <w:i/>
                <w:iCs/>
              </w:rPr>
              <w:t>«в кредитной организации, входящей в состав банковской группы, допускается передача отдельных функций по управлению рисками другой кредитной организации, входящей в банковскую группу».</w:t>
            </w:r>
            <w:r w:rsidRPr="00553002">
              <w:t xml:space="preserve"> В связи с этим возникает ряд вопросов: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tabs>
                <w:tab w:val="left" w:pos="421"/>
              </w:tabs>
              <w:ind w:left="140"/>
            </w:pPr>
            <w:r w:rsidRPr="00553002">
              <w:t xml:space="preserve">- </w:t>
            </w:r>
            <w:r w:rsidRPr="00553002">
              <w:t>Каким образом оформляется такая передача функций?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tabs>
                <w:tab w:val="left" w:pos="295"/>
              </w:tabs>
              <w:ind w:left="140"/>
            </w:pPr>
            <w:r w:rsidRPr="00553002">
              <w:t xml:space="preserve">- </w:t>
            </w:r>
            <w:r w:rsidRPr="00553002">
              <w:t>Правильно ли понимать, что необходимо решение советов директоров обеих кредитных организаций: как той, которая передает функции, так и той, которая принимает функции?</w:t>
            </w:r>
          </w:p>
          <w:p w:rsidR="001B22BC" w:rsidRPr="00553002" w:rsidRDefault="00553002" w:rsidP="00553002">
            <w:pPr>
              <w:pStyle w:val="a7"/>
              <w:shd w:val="clear" w:color="auto" w:fill="auto"/>
              <w:tabs>
                <w:tab w:val="left" w:pos="295"/>
              </w:tabs>
              <w:ind w:left="140"/>
            </w:pPr>
            <w:r w:rsidRPr="00553002">
              <w:t xml:space="preserve">- </w:t>
            </w:r>
            <w:r w:rsidRPr="00553002">
              <w:t>Возможна ли аналогичная передача отдельных функций по формированию кредитной политики между кредитными организациями, входящими в состав одной банковской группы?</w:t>
            </w:r>
          </w:p>
        </w:tc>
        <w:tc>
          <w:tcPr>
            <w:tcW w:w="6768" w:type="dxa"/>
          </w:tcPr>
          <w:p w:rsidR="001B22BC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В соответствии с требованиями пункта 7.2.1 Указания № 3624-</w:t>
            </w:r>
            <w:proofErr w:type="gramStart"/>
            <w:r w:rsidRPr="00553002">
              <w:rPr>
                <w:rFonts w:ascii="Times New Roman" w:hAnsi="Times New Roman" w:cs="Times New Roman"/>
              </w:rPr>
              <w:t>У перечень</w:t>
            </w:r>
            <w:proofErr w:type="gramEnd"/>
            <w:r w:rsidRPr="00553002">
              <w:rPr>
                <w:rFonts w:ascii="Times New Roman" w:hAnsi="Times New Roman" w:cs="Times New Roman"/>
              </w:rPr>
              <w:t xml:space="preserve"> функций по управлению рисками, передаваемых другой кредитной организации, входящей в банковскую группу, и порядок взаимодействия кредитных организаций при осуществлении процедур управления рисками должны быть закреплены в стратегии управления рисками и капиталом, утверждаемой советом директоров кредитных организаций.</w:t>
            </w:r>
          </w:p>
        </w:tc>
      </w:tr>
      <w:tr w:rsidR="001B22BC" w:rsidTr="00574281">
        <w:tc>
          <w:tcPr>
            <w:tcW w:w="704" w:type="dxa"/>
          </w:tcPr>
          <w:p w:rsidR="001B22BC" w:rsidRDefault="00553002" w:rsidP="00574281">
            <w:r>
              <w:t>33.</w:t>
            </w:r>
          </w:p>
        </w:tc>
        <w:tc>
          <w:tcPr>
            <w:tcW w:w="7088" w:type="dxa"/>
          </w:tcPr>
          <w:p w:rsidR="001B22BC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Может ли в головной кредитной организации банковской группы быть разработан и утвержден Советом директоров один внутренний документ «Стратегия управления рисками и капиталом банковской группы», который будет являться единым документом для соблюдения требований Указания 3624-У как на индивидуальном уровне, так и на уровне банковской группы? (т.е. отдельный внутренний документ «Стратегия управления рисками и капиталом» для банка, являющегося головной кредитной организацией, разработан не будет в силу совпадения принципов и основ управления рисками и капиталом).</w:t>
            </w:r>
          </w:p>
        </w:tc>
        <w:tc>
          <w:tcPr>
            <w:tcW w:w="6768" w:type="dxa"/>
          </w:tcPr>
          <w:p w:rsidR="001B22BC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Стратегия управления рисками и капиталом должна быть разработана в каждой кредитной организации и утверждена ее советом директоров. В каждой кредитной организации банковской группы должны быть определены значения показателей склонности к риску на основе групповых подходов, установленных головной кредитной организацией банковской группы.</w:t>
            </w:r>
          </w:p>
        </w:tc>
      </w:tr>
      <w:tr w:rsidR="00A07186" w:rsidTr="00574281">
        <w:tc>
          <w:tcPr>
            <w:tcW w:w="704" w:type="dxa"/>
          </w:tcPr>
          <w:p w:rsidR="00A07186" w:rsidRDefault="00553002" w:rsidP="00574281">
            <w:r>
              <w:t>34.</w:t>
            </w:r>
          </w:p>
        </w:tc>
        <w:tc>
          <w:tcPr>
            <w:tcW w:w="7088" w:type="dxa"/>
          </w:tcPr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В настоящее время головная кредитная организация банковской группы осуществляет разработку ВПОДК на основе двух расчетов параллельно: один с использованием групповых целевых значений риск-аппетита, второй с использованием индивидуальных значений риск-аппетита, т.е. как на индивидуальном, так и на групповом уровне.</w:t>
            </w:r>
          </w:p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Допускает ли Банк России в отношении банковских групп упразднение реализации ВПОДК (или их определенных компонентов) на индивидуальном уровне участника группы, ограничиваясь консолидированным периметром банковской группы в соответствии с Указанием 3624-У?</w:t>
            </w:r>
          </w:p>
        </w:tc>
        <w:tc>
          <w:tcPr>
            <w:tcW w:w="6768" w:type="dxa"/>
          </w:tcPr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Банк России не предполагает отмену требований к головной кредитной организации банковской группы о разработке и применении ВПОДК на индивидуальной основе.</w:t>
            </w:r>
          </w:p>
        </w:tc>
      </w:tr>
      <w:tr w:rsidR="00A07186" w:rsidTr="00574281">
        <w:tc>
          <w:tcPr>
            <w:tcW w:w="704" w:type="dxa"/>
          </w:tcPr>
          <w:p w:rsidR="00A07186" w:rsidRDefault="00553002" w:rsidP="00574281">
            <w:r>
              <w:t>35.</w:t>
            </w:r>
          </w:p>
        </w:tc>
        <w:tc>
          <w:tcPr>
            <w:tcW w:w="7088" w:type="dxa"/>
          </w:tcPr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Во внутренних документах по управлению отдельными видами рисков (положениях, методиках), разработанных кредитной организацией, закрепляется порядок управления присущими банку рисками.</w:t>
            </w:r>
          </w:p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 xml:space="preserve">Обязан ли банк актуализировать ранее разработанный внутренний документ «Политика по управлению банковскими рисками», если </w:t>
            </w:r>
            <w:r w:rsidRPr="00553002">
              <w:rPr>
                <w:rFonts w:ascii="Times New Roman" w:hAnsi="Times New Roman" w:cs="Times New Roman"/>
              </w:rPr>
              <w:lastRenderedPageBreak/>
              <w:t>информация, содержащаяся в данном документе, отражена в «Стратегии управления рисками и капиталом» и внутренних документах по управлению отдельными видами рисков?</w:t>
            </w:r>
          </w:p>
        </w:tc>
        <w:tc>
          <w:tcPr>
            <w:tcW w:w="6768" w:type="dxa"/>
          </w:tcPr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lastRenderedPageBreak/>
              <w:t xml:space="preserve">Требования к внутренним документам, разрабатываемым кредитной организацией в рамках ВПОДК установлены главой 7 Указания № 3624-У. Данные документы должны поддерживаться в актуальном состоянии. В соответствии с требованиями пункта 2.5 Указания № 3624-У, органы управления кредитной организации не реже чем </w:t>
            </w:r>
            <w:r w:rsidRPr="00553002">
              <w:rPr>
                <w:rFonts w:ascii="Times New Roman" w:hAnsi="Times New Roman" w:cs="Times New Roman"/>
              </w:rPr>
              <w:lastRenderedPageBreak/>
              <w:t>ежегодно должны рассматривать вопрос о необходимости внесения изменений в указанные документы.</w:t>
            </w:r>
          </w:p>
        </w:tc>
      </w:tr>
      <w:tr w:rsidR="00A07186" w:rsidTr="00574281">
        <w:tc>
          <w:tcPr>
            <w:tcW w:w="704" w:type="dxa"/>
          </w:tcPr>
          <w:p w:rsidR="00A07186" w:rsidRDefault="00553002" w:rsidP="00574281">
            <w:r>
              <w:lastRenderedPageBreak/>
              <w:t>36.</w:t>
            </w:r>
          </w:p>
        </w:tc>
        <w:tc>
          <w:tcPr>
            <w:tcW w:w="7088" w:type="dxa"/>
          </w:tcPr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Участие сотрудников службы управления рисками банка в принятии решений по осуществлению банком операций (сделок).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Согласно п. 2.7 Указания 3624-У банк обеспечивает распределение между своими структурными подразделениями функций, связанных с принятием и управлением рисками, таким образом, чтобы осуществление операций (сделок), связанных с принятием рисков, и управление рисками не являлись функциями одного структурного подразделения.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Банком России (письма от 26.12.2014 №41-2-3-3/2261, от 27.10.2014 №41-2-3-10/1911) указано, что предоставление одному и тому же работнику кредитной организации полномочий по управлению рисками одновременно с осуществлением таким работником функций, связанных с принятием рисков (осуществление банковских операций и других сделок) не соответствует п.3.4.2. Положения Банка России от 16.12.2003 № 242-П «Об организации внутреннего контроля в кредитных организациях и банковских группах», гак как может привести к конфликту интересов.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В связи с этим кредитные организации просят разъяснить: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- степень возможной вовлеченности сотрудников службы управления рисками в работу кредитного комитета (осуществление организационной, методологической работы, участие в голосовании при принятии решений, предоставление оценки (заключения) по кредитору, его финансового состояния для принятия решения по выдаче кредита);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- является ли участием в осуществлении операций (сделок) разработка службой управления рисками методик, применяемых банком для оценки кредитора, его финансового состояния при принятии решения о выдаче кредита;</w:t>
            </w:r>
          </w:p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- является ли нарушением осуществление структурным подразделением, входящим в состав службы управления рисками, работы с проблемной задолженностью и мониторинга залогового имущества?</w:t>
            </w:r>
          </w:p>
        </w:tc>
        <w:tc>
          <w:tcPr>
            <w:tcW w:w="6768" w:type="dxa"/>
          </w:tcPr>
          <w:p w:rsidR="00553002" w:rsidRPr="00553002" w:rsidRDefault="00553002" w:rsidP="00553002">
            <w:pPr>
              <w:pStyle w:val="a7"/>
              <w:shd w:val="clear" w:color="auto" w:fill="auto"/>
              <w:tabs>
                <w:tab w:val="left" w:pos="2297"/>
              </w:tabs>
            </w:pPr>
            <w:r w:rsidRPr="00553002">
              <w:t xml:space="preserve">Руководитель службы управления рисками и ее сотрудники могут являться членами комитетов кредитной организации, на которых принимаются решения об осуществлении операций (сделок) с правом совещательного голоса или правом вето на совершение сделки. Указанный подход соответствует положениям документа </w:t>
            </w:r>
            <w:proofErr w:type="spellStart"/>
            <w:r w:rsidRPr="00553002">
              <w:t>Базельского</w:t>
            </w:r>
            <w:proofErr w:type="spellEnd"/>
            <w:r w:rsidRPr="00553002">
              <w:t xml:space="preserve"> комитета банковского надзора «Принципы корпоративного управления» </w:t>
            </w:r>
            <w:r w:rsidRPr="00553002">
              <w:rPr>
                <w:lang w:bidi="en-US"/>
              </w:rPr>
              <w:t>(“</w:t>
            </w:r>
            <w:r w:rsidRPr="00553002">
              <w:rPr>
                <w:lang w:val="en-US" w:bidi="en-US"/>
              </w:rPr>
              <w:t>Corporate</w:t>
            </w:r>
            <w:r w:rsidRPr="00553002">
              <w:rPr>
                <w:lang w:bidi="en-US"/>
              </w:rPr>
              <w:t xml:space="preserve"> </w:t>
            </w:r>
            <w:r w:rsidRPr="00553002">
              <w:rPr>
                <w:lang w:val="en-US" w:bidi="en-US"/>
              </w:rPr>
              <w:t>governance</w:t>
            </w:r>
            <w:r w:rsidRPr="00553002">
              <w:rPr>
                <w:lang w:bidi="en-US"/>
              </w:rPr>
              <w:t xml:space="preserve"> </w:t>
            </w:r>
            <w:r w:rsidRPr="00553002">
              <w:rPr>
                <w:lang w:val="en-US" w:bidi="en-US"/>
              </w:rPr>
              <w:t>principles</w:t>
            </w:r>
            <w:r w:rsidRPr="00553002">
              <w:rPr>
                <w:lang w:bidi="en-US"/>
              </w:rPr>
              <w:t xml:space="preserve"> </w:t>
            </w:r>
            <w:r w:rsidRPr="00553002">
              <w:rPr>
                <w:lang w:val="en-US" w:bidi="en-US"/>
              </w:rPr>
              <w:t>for</w:t>
            </w:r>
            <w:r w:rsidRPr="00553002">
              <w:rPr>
                <w:lang w:bidi="en-US"/>
              </w:rPr>
              <w:t xml:space="preserve"> </w:t>
            </w:r>
            <w:r w:rsidRPr="00553002">
              <w:rPr>
                <w:lang w:val="en-US" w:bidi="en-US"/>
              </w:rPr>
              <w:t>banks</w:t>
            </w:r>
            <w:r w:rsidRPr="00553002">
              <w:rPr>
                <w:lang w:bidi="en-US"/>
              </w:rPr>
              <w:t xml:space="preserve">", </w:t>
            </w:r>
            <w:r w:rsidRPr="00553002">
              <w:rPr>
                <w:lang w:val="en-US" w:bidi="en-US"/>
              </w:rPr>
              <w:t>July</w:t>
            </w:r>
            <w:r w:rsidRPr="00553002">
              <w:rPr>
                <w:lang w:bidi="en-US"/>
              </w:rPr>
              <w:t xml:space="preserve">, 2015, </w:t>
            </w:r>
            <w:r w:rsidRPr="00553002">
              <w:t xml:space="preserve">параграф ПО Принципа </w:t>
            </w:r>
            <w:r w:rsidRPr="00553002">
              <w:rPr>
                <w:lang w:bidi="en-US"/>
              </w:rPr>
              <w:t xml:space="preserve">6 </w:t>
            </w:r>
            <w:r w:rsidRPr="00553002">
              <w:t>«Функция управления риском») (далее - Принцип 6).</w:t>
            </w:r>
          </w:p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В соответствии с Принципом 6 в целях предотвращения конфликта интересов на руководителя риск-менеджмента не следует возлагать двойную ответственность, то есть он не должен выполнять иные управленческие функции, в связи с чем вызывает сомнение необходимость участия руководителя службы управления рисками в Комитете по работе с проблемной задолженностью.</w:t>
            </w:r>
          </w:p>
        </w:tc>
      </w:tr>
      <w:tr w:rsidR="00A07186" w:rsidTr="00574281">
        <w:tc>
          <w:tcPr>
            <w:tcW w:w="704" w:type="dxa"/>
          </w:tcPr>
          <w:p w:rsidR="00A07186" w:rsidRDefault="00553002" w:rsidP="00574281">
            <w:r>
              <w:t>37.</w:t>
            </w:r>
          </w:p>
        </w:tc>
        <w:tc>
          <w:tcPr>
            <w:tcW w:w="7088" w:type="dxa"/>
          </w:tcPr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>В настоящее время Положение №483-П «О порядке расчета величины кредитного риска на основе внутренних рейтингов» применяется на уровне отдельной кредитной организации.</w:t>
            </w:r>
          </w:p>
          <w:p w:rsidR="00553002" w:rsidRPr="00553002" w:rsidRDefault="00553002" w:rsidP="00553002">
            <w:pPr>
              <w:pStyle w:val="a7"/>
              <w:shd w:val="clear" w:color="auto" w:fill="auto"/>
              <w:spacing w:after="60"/>
            </w:pPr>
            <w:r w:rsidRPr="00553002">
              <w:t xml:space="preserve">Допускает ли Банк России применение Положения 483-П на уровне </w:t>
            </w:r>
            <w:r w:rsidRPr="00553002">
              <w:lastRenderedPageBreak/>
              <w:t>банковской группы?</w:t>
            </w:r>
          </w:p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Если да, то каким образом будут применяться установленные Главой 20 данного Положения ограничения (80% на величину Ключевого показателя риска, включаемую в расчет достаточности капитала, начиная со второго года применения подхода на основе внутренних рейтингов) на индивидуальном уровне отдельного участника банковской группы и учитываться на уровне консолидированных значений?</w:t>
            </w:r>
          </w:p>
        </w:tc>
        <w:tc>
          <w:tcPr>
            <w:tcW w:w="6768" w:type="dxa"/>
          </w:tcPr>
          <w:p w:rsidR="00553002" w:rsidRPr="00553002" w:rsidRDefault="00553002" w:rsidP="00553002">
            <w:pPr>
              <w:pStyle w:val="a7"/>
              <w:shd w:val="clear" w:color="auto" w:fill="auto"/>
            </w:pPr>
            <w:r w:rsidRPr="00553002">
              <w:lastRenderedPageBreak/>
              <w:t xml:space="preserve">В 2018 году планируется внесение изменений в Положение Банка России от 03 декабря 2015 № 509-П «О расчете величины собственных средств (капитала), обязательных нормативов и размеров (лимитов) открытых валютных позиций банковских групп» в части допущения при расчете консолидированных нормативов </w:t>
            </w:r>
            <w:r w:rsidRPr="00553002">
              <w:lastRenderedPageBreak/>
              <w:t>достаточности капитала банковской группы принимать расчет кредитного риска с применением ПВР тех участников группы, которые получили разрешение Банка России на применение ПВР на соло-основе.</w:t>
            </w:r>
          </w:p>
          <w:p w:rsidR="00A07186" w:rsidRPr="00553002" w:rsidRDefault="00553002" w:rsidP="00553002">
            <w:pPr>
              <w:jc w:val="both"/>
              <w:rPr>
                <w:rFonts w:ascii="Times New Roman" w:hAnsi="Times New Roman" w:cs="Times New Roman"/>
              </w:rPr>
            </w:pPr>
            <w:r w:rsidRPr="00553002">
              <w:rPr>
                <w:rFonts w:ascii="Times New Roman" w:hAnsi="Times New Roman" w:cs="Times New Roman"/>
              </w:rPr>
              <w:t>Ограничения, установленные главой 20 Положения № 483-П применяются на соло-основе, и поэтому не будут распространяться или пересчитываться при расчете нормативов достаточности капитала банковской группы.</w:t>
            </w:r>
          </w:p>
        </w:tc>
      </w:tr>
      <w:tr w:rsidR="004A1892" w:rsidTr="007E22D1">
        <w:tc>
          <w:tcPr>
            <w:tcW w:w="14560" w:type="dxa"/>
            <w:gridSpan w:val="3"/>
          </w:tcPr>
          <w:p w:rsidR="004A1892" w:rsidRPr="004A1892" w:rsidRDefault="004A1892" w:rsidP="004A1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892">
              <w:rPr>
                <w:rFonts w:ascii="Times New Roman" w:hAnsi="Times New Roman" w:cs="Times New Roman"/>
                <w:b/>
              </w:rPr>
              <w:lastRenderedPageBreak/>
              <w:t>Вопросы и предложения по вопросам регулирования банков с базовой лицензией</w:t>
            </w:r>
          </w:p>
        </w:tc>
      </w:tr>
      <w:tr w:rsidR="00A07186" w:rsidTr="00574281">
        <w:tc>
          <w:tcPr>
            <w:tcW w:w="704" w:type="dxa"/>
          </w:tcPr>
          <w:p w:rsidR="00A07186" w:rsidRDefault="004A1892" w:rsidP="00574281">
            <w:r>
              <w:t>38.</w:t>
            </w:r>
          </w:p>
        </w:tc>
        <w:tc>
          <w:tcPr>
            <w:tcW w:w="7088" w:type="dxa"/>
          </w:tcPr>
          <w:p w:rsidR="004A1892" w:rsidRPr="002E2468" w:rsidRDefault="004A1892" w:rsidP="002E2468">
            <w:pPr>
              <w:pStyle w:val="a7"/>
              <w:shd w:val="clear" w:color="auto" w:fill="auto"/>
              <w:spacing w:after="60"/>
            </w:pPr>
            <w:r w:rsidRPr="002E2468">
              <w:t>В дополнение к вопросам, обозначенным в письме Ассоциации № 06/212 от 13.12.2017 об осуществлении банками с базовой лицензией операций и сделок с ценными бумагами, по которым позиция Банка России в настоящее время формируется (согласно письму № 41-2-7/1460 от 28.12.2017), кредитные организации просят разъяснить следующее:</w:t>
            </w:r>
          </w:p>
          <w:p w:rsidR="00A07186" w:rsidRPr="002E2468" w:rsidRDefault="004A1892" w:rsidP="002E2468">
            <w:pPr>
              <w:pStyle w:val="a7"/>
              <w:shd w:val="clear" w:color="auto" w:fill="auto"/>
              <w:tabs>
                <w:tab w:val="left" w:pos="245"/>
              </w:tabs>
            </w:pPr>
            <w:r w:rsidRPr="002E2468">
              <w:t xml:space="preserve">- </w:t>
            </w:r>
            <w:r w:rsidRPr="002E2468">
              <w:t>каким должен быть порядок действий банка, получившего статус банка с базовой лицензией, в отношении принадлежащих ему ценных бумаг, не соответствующих требованиям, установленным частью пятой статьи 24 Федерального закона от 02.12.1990 № 395-1 «О банках и банковской деятельности» (далее</w:t>
            </w:r>
            <w:r w:rsidRPr="002E2468">
              <w:t xml:space="preserve"> </w:t>
            </w:r>
            <w:r w:rsidRPr="002E2468">
              <w:t>Закон 395-1), приобретенных до изменения банком своего статуса, если погашение ценных бумаг не предусмотрено условиями их выпуска (например, акции) или срок погашения превышает 5 лет с даты изменения статуса банка, а возможность реализовать эти бумаги отсутствует? Так, например, если на балансе кредитной организации имеются реструктурированные облигации Банка «Пересвет» с датой погашения в 2034 году, то продать их без существенных убытков невозможно;</w:t>
            </w:r>
          </w:p>
          <w:p w:rsidR="00C86CBD" w:rsidRPr="002E2468" w:rsidRDefault="00C86CBD" w:rsidP="002E2468">
            <w:pPr>
              <w:pStyle w:val="a7"/>
              <w:shd w:val="clear" w:color="auto" w:fill="auto"/>
              <w:tabs>
                <w:tab w:val="left" w:pos="245"/>
              </w:tabs>
            </w:pPr>
            <w:r w:rsidRPr="002E2468">
              <w:t>- будет ли банк с базовой лицензией вправе осуществлять эмиссию акций, облигаций и осуществлять выкуп (погашение) собственных ценных бумаг?</w:t>
            </w:r>
          </w:p>
        </w:tc>
        <w:tc>
          <w:tcPr>
            <w:tcW w:w="6768" w:type="dxa"/>
          </w:tcPr>
          <w:p w:rsidR="00A07186" w:rsidRPr="002E2468" w:rsidRDefault="004A1892" w:rsidP="002E2468">
            <w:pPr>
              <w:jc w:val="both"/>
              <w:rPr>
                <w:rFonts w:ascii="Times New Roman" w:hAnsi="Times New Roman" w:cs="Times New Roman"/>
              </w:rPr>
            </w:pPr>
            <w:r w:rsidRPr="002E2468">
              <w:rPr>
                <w:rFonts w:ascii="Times New Roman" w:hAnsi="Times New Roman" w:cs="Times New Roman"/>
              </w:rPr>
              <w:t xml:space="preserve">Позиция Банка России по указанным вопросам формируется. </w:t>
            </w:r>
          </w:p>
        </w:tc>
      </w:tr>
      <w:tr w:rsidR="00A07186" w:rsidTr="00574281">
        <w:tc>
          <w:tcPr>
            <w:tcW w:w="704" w:type="dxa"/>
          </w:tcPr>
          <w:p w:rsidR="00A07186" w:rsidRDefault="00C86CBD" w:rsidP="00574281">
            <w:r>
              <w:t>39.</w:t>
            </w:r>
          </w:p>
        </w:tc>
        <w:tc>
          <w:tcPr>
            <w:tcW w:w="7088" w:type="dxa"/>
          </w:tcPr>
          <w:p w:rsidR="00A07186" w:rsidRPr="002E2468" w:rsidRDefault="00C86CBD" w:rsidP="002E2468">
            <w:pPr>
              <w:jc w:val="both"/>
              <w:rPr>
                <w:rFonts w:ascii="Times New Roman" w:hAnsi="Times New Roman" w:cs="Times New Roman"/>
              </w:rPr>
            </w:pPr>
            <w:r w:rsidRPr="002E2468">
              <w:rPr>
                <w:rFonts w:ascii="Times New Roman" w:hAnsi="Times New Roman" w:cs="Times New Roman"/>
              </w:rPr>
              <w:t>Кредитные организации, потенциально переходящие в статус банков с базовой лицензией, просят подтвердить мнение, что действие части пятой статья 24 Закона 395-1 распространяется на профессиональную деятельность на рынке ценных бумаг не только по собственным (дилерским), но и по клиентским (брокерским) операциям.</w:t>
            </w:r>
          </w:p>
        </w:tc>
        <w:tc>
          <w:tcPr>
            <w:tcW w:w="6768" w:type="dxa"/>
          </w:tcPr>
          <w:p w:rsidR="00C86CBD" w:rsidRPr="002E2468" w:rsidRDefault="00C86CBD" w:rsidP="002E2468">
            <w:pPr>
              <w:pStyle w:val="a7"/>
              <w:shd w:val="clear" w:color="auto" w:fill="auto"/>
            </w:pPr>
            <w:r w:rsidRPr="002E2468">
              <w:t>Часть 5 статьи 24 Закона о банках предусматривает особенности</w:t>
            </w:r>
            <w:r w:rsidRPr="002E2468">
              <w:rPr>
                <w:rStyle w:val="aa"/>
              </w:rPr>
              <w:footnoteReference w:id="3"/>
            </w:r>
            <w:r w:rsidRPr="002E2468">
              <w:rPr>
                <w:vertAlign w:val="superscript"/>
              </w:rPr>
              <w:t xml:space="preserve"> </w:t>
            </w:r>
            <w:r w:rsidRPr="002E2468">
              <w:t>осуществления банками с базовой лицензией деятельности на рынке ценных бумаг, в том числе профессиональной деятельности на рынке ценных бумаг.</w:t>
            </w:r>
          </w:p>
          <w:p w:rsidR="00A07186" w:rsidRPr="002E2468" w:rsidRDefault="00C86CBD" w:rsidP="002E2468">
            <w:pPr>
              <w:jc w:val="both"/>
              <w:rPr>
                <w:rFonts w:ascii="Times New Roman" w:hAnsi="Times New Roman" w:cs="Times New Roman"/>
              </w:rPr>
            </w:pPr>
            <w:r w:rsidRPr="002E2468">
              <w:rPr>
                <w:rFonts w:ascii="Times New Roman" w:hAnsi="Times New Roman" w:cs="Times New Roman"/>
              </w:rPr>
              <w:lastRenderedPageBreak/>
              <w:t xml:space="preserve">Полагаем, что указанное ограничение распространяется на осуществление банками с базовой лицензией </w:t>
            </w:r>
            <w:r w:rsidRPr="002E2468">
              <w:rPr>
                <w:rFonts w:ascii="Times New Roman" w:hAnsi="Times New Roman" w:cs="Times New Roman"/>
                <w:i/>
                <w:iCs/>
              </w:rPr>
              <w:t xml:space="preserve">любой </w:t>
            </w:r>
            <w:r w:rsidRPr="002E2468">
              <w:rPr>
                <w:rFonts w:ascii="Times New Roman" w:hAnsi="Times New Roman" w:cs="Times New Roman"/>
              </w:rPr>
              <w:t>профессиональной деятельности на рынке ценных бумаг без дифференциации по видам такой деятельности, предусмотренным Федеральным законом «О рынке ценных бумаг».</w:t>
            </w:r>
          </w:p>
        </w:tc>
      </w:tr>
      <w:tr w:rsidR="00A07186" w:rsidTr="00574281">
        <w:tc>
          <w:tcPr>
            <w:tcW w:w="704" w:type="dxa"/>
          </w:tcPr>
          <w:p w:rsidR="00A07186" w:rsidRDefault="002E2468" w:rsidP="00574281">
            <w:r>
              <w:lastRenderedPageBreak/>
              <w:t>40.</w:t>
            </w:r>
          </w:p>
        </w:tc>
        <w:tc>
          <w:tcPr>
            <w:tcW w:w="7088" w:type="dxa"/>
          </w:tcPr>
          <w:p w:rsidR="002E2468" w:rsidRPr="002E2468" w:rsidRDefault="002E2468" w:rsidP="002E2468">
            <w:pPr>
              <w:pStyle w:val="a7"/>
              <w:shd w:val="clear" w:color="auto" w:fill="auto"/>
            </w:pPr>
            <w:r w:rsidRPr="002E2468">
              <w:t>В п. 6.4 Главы 6 Указания 3624-У предусмотрено представление отчетности, формируемой в рамках ВПОДК, Совету директоров - ежеквартально, исполнительным органам - не реже одного раза в</w:t>
            </w:r>
          </w:p>
          <w:p w:rsidR="002E2468" w:rsidRPr="002E2468" w:rsidRDefault="002E2468" w:rsidP="002E2468">
            <w:pPr>
              <w:pStyle w:val="a7"/>
              <w:shd w:val="clear" w:color="auto" w:fill="auto"/>
              <w:spacing w:after="60"/>
            </w:pPr>
            <w:r w:rsidRPr="002E2468">
              <w:t>месяц.</w:t>
            </w:r>
          </w:p>
          <w:p w:rsidR="00A07186" w:rsidRPr="002E2468" w:rsidRDefault="002E2468" w:rsidP="002E2468">
            <w:pPr>
              <w:jc w:val="both"/>
              <w:rPr>
                <w:rFonts w:ascii="Times New Roman" w:hAnsi="Times New Roman" w:cs="Times New Roman"/>
              </w:rPr>
            </w:pPr>
            <w:r w:rsidRPr="002E2468">
              <w:rPr>
                <w:rFonts w:ascii="Times New Roman" w:hAnsi="Times New Roman" w:cs="Times New Roman"/>
              </w:rPr>
              <w:t>Как Банк России относится к следующей инициативе: для банков с базовой лицензией, исходя из характера и масштабов их деятельности, установить один срок представления отчетности, формируемой в рамках ВПОДК: Совету директоров и исполнительным органам кредитной организации ежеквартально.</w:t>
            </w:r>
          </w:p>
        </w:tc>
        <w:tc>
          <w:tcPr>
            <w:tcW w:w="6768" w:type="dxa"/>
          </w:tcPr>
          <w:p w:rsidR="00A07186" w:rsidRPr="002E2468" w:rsidRDefault="002E2468" w:rsidP="002E2468">
            <w:pPr>
              <w:jc w:val="both"/>
              <w:rPr>
                <w:rFonts w:ascii="Times New Roman" w:hAnsi="Times New Roman" w:cs="Times New Roman"/>
              </w:rPr>
            </w:pPr>
            <w:r w:rsidRPr="002E2468">
              <w:rPr>
                <w:rFonts w:ascii="Times New Roman" w:hAnsi="Times New Roman" w:cs="Times New Roman"/>
              </w:rPr>
              <w:t>Предложенная периодичность представления исполнительным органам отчетности, формируемой в рамках ВПОДК, представляется недостаточной.</w:t>
            </w:r>
          </w:p>
        </w:tc>
      </w:tr>
      <w:tr w:rsidR="00A07186" w:rsidTr="00574281">
        <w:tc>
          <w:tcPr>
            <w:tcW w:w="704" w:type="dxa"/>
          </w:tcPr>
          <w:p w:rsidR="00A07186" w:rsidRDefault="002E2468" w:rsidP="00574281">
            <w:r>
              <w:t>41.</w:t>
            </w:r>
          </w:p>
        </w:tc>
        <w:tc>
          <w:tcPr>
            <w:tcW w:w="7088" w:type="dxa"/>
          </w:tcPr>
          <w:p w:rsidR="002E2468" w:rsidRPr="002E2468" w:rsidRDefault="002E2468" w:rsidP="002E2468">
            <w:pPr>
              <w:jc w:val="both"/>
              <w:rPr>
                <w:rFonts w:ascii="Times New Roman" w:hAnsi="Times New Roman" w:cs="Times New Roman"/>
              </w:rPr>
            </w:pPr>
            <w:r w:rsidRPr="002E2468">
              <w:rPr>
                <w:rFonts w:ascii="Times New Roman" w:hAnsi="Times New Roman" w:cs="Times New Roman"/>
              </w:rPr>
              <w:t>При проектировании регуляторных изменений Положения 590-</w:t>
            </w:r>
            <w:r w:rsidRPr="002E2468">
              <w:rPr>
                <w:rFonts w:ascii="Times New Roman" w:hAnsi="Times New Roman" w:cs="Times New Roman"/>
              </w:rPr>
              <w:t>П</w:t>
            </w:r>
            <w:r w:rsidRPr="002E2468">
              <w:rPr>
                <w:rFonts w:ascii="Times New Roman" w:hAnsi="Times New Roman" w:cs="Times New Roman"/>
              </w:rPr>
              <w:t xml:space="preserve"> в части необходимости формирования 100% резерва по средствам, предоставленным банкам-нерезидентам, в случае отсутствия документов,</w:t>
            </w:r>
            <w:r w:rsidRPr="002E2468">
              <w:rPr>
                <w:rFonts w:ascii="Times New Roman" w:hAnsi="Times New Roman" w:cs="Times New Roman"/>
              </w:rPr>
              <w:t xml:space="preserve"> </w:t>
            </w:r>
            <w:r w:rsidRPr="002E2468">
              <w:rPr>
                <w:rFonts w:ascii="Times New Roman" w:hAnsi="Times New Roman" w:cs="Times New Roman"/>
              </w:rPr>
              <w:t>подтверждающие отсутствие обременения по ним (соответствующая норма была ранее обозначена в проектах изменения Положения 254-П) банки, потенциально переходящие в статус банков с базовой лицензией, просят учесть следующее:</w:t>
            </w:r>
          </w:p>
          <w:p w:rsidR="002E2468" w:rsidRPr="002E2468" w:rsidRDefault="002E2468" w:rsidP="002E2468">
            <w:pPr>
              <w:pStyle w:val="a7"/>
              <w:shd w:val="clear" w:color="auto" w:fill="auto"/>
            </w:pPr>
            <w:r w:rsidRPr="002E2468">
              <w:t>В целях участия в платежных системах для выпуска и обслуживания платежных карт малые кредитные организации пользуются спонсорской поддержкой банков-спонсоров по вступлению</w:t>
            </w:r>
            <w:r w:rsidRPr="002E2468">
              <w:t xml:space="preserve"> </w:t>
            </w:r>
            <w:r w:rsidRPr="002E2468">
              <w:t>и участию в качестве ассоциированных/аффилированных членов в</w:t>
            </w:r>
            <w:r w:rsidRPr="002E2468">
              <w:t xml:space="preserve"> </w:t>
            </w:r>
            <w:r w:rsidRPr="002E2468">
              <w:t xml:space="preserve">международных платежных системах </w:t>
            </w:r>
            <w:r w:rsidRPr="002E2468">
              <w:rPr>
                <w:lang w:val="en-US" w:bidi="en-US"/>
              </w:rPr>
              <w:t>VISA</w:t>
            </w:r>
            <w:r w:rsidRPr="002E2468">
              <w:rPr>
                <w:lang w:bidi="en-US"/>
              </w:rPr>
              <w:t xml:space="preserve"> </w:t>
            </w:r>
            <w:r w:rsidRPr="002E2468">
              <w:t xml:space="preserve">и </w:t>
            </w:r>
            <w:r w:rsidRPr="002E2468">
              <w:rPr>
                <w:lang w:val="en-US" w:bidi="en-US"/>
              </w:rPr>
              <w:t>MasterCard</w:t>
            </w:r>
            <w:r w:rsidRPr="002E2468">
              <w:rPr>
                <w:lang w:bidi="en-US"/>
              </w:rPr>
              <w:t>.</w:t>
            </w:r>
          </w:p>
          <w:p w:rsidR="002E2468" w:rsidRPr="002E2468" w:rsidRDefault="002E2468" w:rsidP="002E2468">
            <w:pPr>
              <w:pStyle w:val="a7"/>
              <w:shd w:val="clear" w:color="auto" w:fill="auto"/>
            </w:pPr>
            <w:r w:rsidRPr="002E2468">
              <w:t>Одной из кредитных организаций, оказывающих спонсорскую поддержку, является Банк ВТБ (</w:t>
            </w:r>
            <w:r w:rsidRPr="002E2468">
              <w:t>П</w:t>
            </w:r>
            <w:r w:rsidRPr="002E2468">
              <w:t xml:space="preserve">АО). В соответствии со стандартными условиями Банк ВТБ (ПАО), кредитными организациями должно быть перечислено страховое обеспечение в виде межбанковского кредита в </w:t>
            </w:r>
            <w:r w:rsidRPr="002E2468">
              <w:rPr>
                <w:lang w:val="en-US" w:bidi="en-US"/>
              </w:rPr>
              <w:t>VTB</w:t>
            </w:r>
            <w:r w:rsidRPr="002E2468">
              <w:rPr>
                <w:lang w:bidi="en-US"/>
              </w:rPr>
              <w:t xml:space="preserve"> </w:t>
            </w:r>
            <w:r w:rsidRPr="002E2468">
              <w:rPr>
                <w:lang w:val="en-US" w:bidi="en-US"/>
              </w:rPr>
              <w:t>Bank</w:t>
            </w:r>
            <w:r w:rsidRPr="002E2468">
              <w:rPr>
                <w:lang w:bidi="en-US"/>
              </w:rPr>
              <w:t xml:space="preserve"> (</w:t>
            </w:r>
            <w:r w:rsidRPr="002E2468">
              <w:rPr>
                <w:lang w:val="en-US" w:bidi="en-US"/>
              </w:rPr>
              <w:t>Deutschland</w:t>
            </w:r>
            <w:r w:rsidRPr="002E2468">
              <w:rPr>
                <w:lang w:bidi="en-US"/>
              </w:rPr>
              <w:t xml:space="preserve">) </w:t>
            </w:r>
            <w:r w:rsidRPr="002E2468">
              <w:rPr>
                <w:lang w:val="en-US" w:bidi="en-US"/>
              </w:rPr>
              <w:t>AG</w:t>
            </w:r>
            <w:r w:rsidRPr="002E2468">
              <w:rPr>
                <w:lang w:bidi="en-US"/>
              </w:rPr>
              <w:t xml:space="preserve">, </w:t>
            </w:r>
            <w:r w:rsidRPr="002E2468">
              <w:t xml:space="preserve">под который выдается банковская гарантия в пользу Банк ВТБ (ПАО) для обеспечения расчетов. Таким образом, денежные средства, размещенные в </w:t>
            </w:r>
            <w:r w:rsidRPr="002E2468">
              <w:rPr>
                <w:lang w:val="en-US" w:bidi="en-US"/>
              </w:rPr>
              <w:t>VTB</w:t>
            </w:r>
            <w:r w:rsidRPr="002E2468">
              <w:rPr>
                <w:lang w:bidi="en-US"/>
              </w:rPr>
              <w:t xml:space="preserve"> </w:t>
            </w:r>
            <w:r w:rsidRPr="002E2468">
              <w:rPr>
                <w:lang w:val="en-US" w:bidi="en-US"/>
              </w:rPr>
              <w:t>Bank</w:t>
            </w:r>
            <w:r w:rsidRPr="002E2468">
              <w:rPr>
                <w:lang w:bidi="en-US"/>
              </w:rPr>
              <w:t xml:space="preserve"> (</w:t>
            </w:r>
            <w:r w:rsidRPr="002E2468">
              <w:rPr>
                <w:lang w:val="en-US" w:bidi="en-US"/>
              </w:rPr>
              <w:t>Deutschland</w:t>
            </w:r>
            <w:r w:rsidRPr="002E2468">
              <w:rPr>
                <w:lang w:bidi="en-US"/>
              </w:rPr>
              <w:t xml:space="preserve">) </w:t>
            </w:r>
            <w:r w:rsidRPr="002E2468">
              <w:rPr>
                <w:lang w:val="en-US" w:bidi="en-US"/>
              </w:rPr>
              <w:t>AG</w:t>
            </w:r>
            <w:r w:rsidRPr="002E2468">
              <w:rPr>
                <w:lang w:bidi="en-US"/>
              </w:rPr>
              <w:t xml:space="preserve">, </w:t>
            </w:r>
            <w:r w:rsidRPr="002E2468">
              <w:t>имеют обременение.</w:t>
            </w:r>
          </w:p>
          <w:p w:rsidR="00A07186" w:rsidRPr="002E2468" w:rsidRDefault="002E2468" w:rsidP="002E2468">
            <w:pPr>
              <w:jc w:val="both"/>
              <w:rPr>
                <w:rFonts w:ascii="Times New Roman" w:hAnsi="Times New Roman" w:cs="Times New Roman"/>
              </w:rPr>
            </w:pPr>
            <w:r w:rsidRPr="002E2468">
              <w:rPr>
                <w:rFonts w:ascii="Times New Roman" w:hAnsi="Times New Roman" w:cs="Times New Roman"/>
              </w:rPr>
              <w:t xml:space="preserve">Вышеуказанная ситуация не обладает какими-либо признаками злоупотреблений, контрагентом по ней выступает одна из крупнейших банковских групп в Российской Федерации, требования обременены во исполнение собственных обязательств кредитной организации, а не </w:t>
            </w:r>
            <w:r w:rsidRPr="002E2468">
              <w:rPr>
                <w:rFonts w:ascii="Times New Roman" w:hAnsi="Times New Roman" w:cs="Times New Roman"/>
              </w:rPr>
              <w:lastRenderedPageBreak/>
              <w:t xml:space="preserve">обязательств каких-либо третьих лиц, смысл операции - обеспечение проведения расчетов своих клиентов по платежным системам </w:t>
            </w:r>
            <w:r w:rsidRPr="002E2468">
              <w:rPr>
                <w:rFonts w:ascii="Times New Roman" w:hAnsi="Times New Roman" w:cs="Times New Roman"/>
                <w:lang w:val="en-US" w:bidi="en-US"/>
              </w:rPr>
              <w:t>VISA</w:t>
            </w:r>
            <w:r w:rsidRPr="002E2468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2E2468">
              <w:rPr>
                <w:rFonts w:ascii="Times New Roman" w:hAnsi="Times New Roman" w:cs="Times New Roman"/>
              </w:rPr>
              <w:t xml:space="preserve">и </w:t>
            </w:r>
            <w:r w:rsidRPr="002E2468">
              <w:rPr>
                <w:rFonts w:ascii="Times New Roman" w:hAnsi="Times New Roman" w:cs="Times New Roman"/>
                <w:lang w:val="en-US" w:bidi="en-US"/>
              </w:rPr>
              <w:t>MasterCard</w:t>
            </w:r>
            <w:r w:rsidRPr="002E2468"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6768" w:type="dxa"/>
          </w:tcPr>
          <w:p w:rsidR="002E2468" w:rsidRPr="002E2468" w:rsidRDefault="002E2468" w:rsidP="002E2468">
            <w:pPr>
              <w:pStyle w:val="a7"/>
              <w:shd w:val="clear" w:color="auto" w:fill="auto"/>
            </w:pPr>
            <w:r w:rsidRPr="002E2468">
              <w:lastRenderedPageBreak/>
              <w:t>Требование о классификации в V категорию качества остатков на счетах, открытых в банках нерезидентах (Положение № 283-П), применяется в случаях отсутствия документов, подтверждающих наличие денежных средств и (или) отсутствие обременения по ним, представленных банком-нерезидентом.</w:t>
            </w:r>
          </w:p>
          <w:p w:rsidR="002E2468" w:rsidRPr="002E2468" w:rsidRDefault="002E2468" w:rsidP="002E2468">
            <w:pPr>
              <w:pStyle w:val="a7"/>
              <w:shd w:val="clear" w:color="auto" w:fill="auto"/>
            </w:pPr>
            <w:r w:rsidRPr="002E2468">
              <w:t>Таким образом, рассматриваемая ситуация может не подпадать под требование о формировании 100%-</w:t>
            </w:r>
            <w:proofErr w:type="spellStart"/>
            <w:r w:rsidRPr="002E2468">
              <w:t>го</w:t>
            </w:r>
            <w:proofErr w:type="spellEnd"/>
            <w:r w:rsidRPr="002E2468">
              <w:t xml:space="preserve"> резерва.</w:t>
            </w:r>
          </w:p>
          <w:p w:rsidR="002E2468" w:rsidRPr="002E2468" w:rsidRDefault="002E2468" w:rsidP="002E2468">
            <w:pPr>
              <w:pStyle w:val="a7"/>
              <w:shd w:val="clear" w:color="auto" w:fill="auto"/>
            </w:pPr>
            <w:r w:rsidRPr="002E2468">
              <w:t>В качестве подтверждающих документов, по аналогии с подтверждением наличия средств на корреспондентском счете, могут приниматься документы,</w:t>
            </w:r>
            <w:r w:rsidRPr="002E2468">
              <w:t xml:space="preserve"> </w:t>
            </w:r>
            <w:r w:rsidRPr="002E2468">
              <w:t>составленные</w:t>
            </w:r>
            <w:r w:rsidRPr="002E2468">
              <w:t xml:space="preserve"> </w:t>
            </w:r>
            <w:r w:rsidRPr="002E2468">
              <w:t>банком-</w:t>
            </w:r>
            <w:r w:rsidRPr="002E2468">
              <w:t xml:space="preserve"> </w:t>
            </w:r>
            <w:r w:rsidRPr="002E2468">
              <w:t>нерезидентом в соответствии с требованиями законодательства</w:t>
            </w:r>
            <w:r w:rsidRPr="002E2468">
              <w:t xml:space="preserve">, </w:t>
            </w:r>
            <w:r w:rsidRPr="002E2468">
              <w:t>иными нормативными актами, правилами делового оборота, в том числе сообщения банка-нерезидента по защищенным каналам связи, которые в совокупности или раздельно подтверждают факт наличия денежных средств в кредитной организации-нерезиденте. Например, в качестве подтверждающих документов могут рассматриваться финансовые сообщения банка-нерезидента в формате СВИФТ, на основании которых можно сделать вывод о соответствии остатков средств кредитных организаций на корреспондентском счете в банке-нерезиденте и остатков средств в распоряжении (их доступности) кредитных организаций (поля 62а и 64 выписки по форме МТ940/МТ950).</w:t>
            </w:r>
          </w:p>
          <w:p w:rsidR="00A07186" w:rsidRPr="002E2468" w:rsidRDefault="002E2468" w:rsidP="002E2468">
            <w:pPr>
              <w:pStyle w:val="a7"/>
              <w:shd w:val="clear" w:color="auto" w:fill="auto"/>
              <w:rPr>
                <w:u w:val="single"/>
              </w:rPr>
            </w:pPr>
            <w:r w:rsidRPr="002E2468">
              <w:rPr>
                <w:u w:val="single"/>
              </w:rPr>
              <w:t xml:space="preserve">В случае обременения денежных средств на счете в банке - нерезиденте формирование резерва осуществляется исходя из оценки </w:t>
            </w:r>
            <w:r w:rsidRPr="002E2468">
              <w:rPr>
                <w:u w:val="single"/>
              </w:rPr>
              <w:lastRenderedPageBreak/>
              <w:t>риска возможных потерь с учетом условий конкретного</w:t>
            </w:r>
            <w:r w:rsidRPr="002E2468">
              <w:rPr>
                <w:u w:val="single"/>
              </w:rPr>
              <w:t xml:space="preserve"> </w:t>
            </w:r>
            <w:r w:rsidRPr="002E2468">
              <w:rPr>
                <w:u w:val="single"/>
              </w:rPr>
              <w:t>договора обременения денежных средств.</w:t>
            </w:r>
          </w:p>
        </w:tc>
      </w:tr>
      <w:tr w:rsidR="002E2468" w:rsidTr="0006556B">
        <w:tc>
          <w:tcPr>
            <w:tcW w:w="14560" w:type="dxa"/>
            <w:gridSpan w:val="3"/>
          </w:tcPr>
          <w:p w:rsidR="002E2468" w:rsidRPr="002E2468" w:rsidRDefault="002E2468" w:rsidP="002E2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468">
              <w:rPr>
                <w:rFonts w:ascii="Times New Roman" w:hAnsi="Times New Roman" w:cs="Times New Roman"/>
                <w:b/>
              </w:rPr>
              <w:lastRenderedPageBreak/>
              <w:t>Предложения к рассмотрению</w:t>
            </w:r>
          </w:p>
        </w:tc>
      </w:tr>
      <w:tr w:rsidR="002E2468" w:rsidTr="00574281">
        <w:tc>
          <w:tcPr>
            <w:tcW w:w="704" w:type="dxa"/>
          </w:tcPr>
          <w:p w:rsidR="002E2468" w:rsidRDefault="00CF0FC8" w:rsidP="00574281">
            <w:r>
              <w:t>42.</w:t>
            </w:r>
          </w:p>
        </w:tc>
        <w:tc>
          <w:tcPr>
            <w:tcW w:w="7088" w:type="dxa"/>
          </w:tcPr>
          <w:p w:rsidR="00CF0FC8" w:rsidRPr="00CF0FC8" w:rsidRDefault="00CF0FC8" w:rsidP="00CF0FC8">
            <w:pPr>
              <w:jc w:val="both"/>
              <w:rPr>
                <w:rFonts w:ascii="Times New Roman" w:hAnsi="Times New Roman" w:cs="Times New Roman"/>
              </w:rPr>
            </w:pPr>
            <w:r w:rsidRPr="00CF0FC8">
              <w:rPr>
                <w:rFonts w:ascii="Times New Roman" w:hAnsi="Times New Roman" w:cs="Times New Roman"/>
              </w:rPr>
              <w:t>В настоящее время при расчете нормативов достаточности капитала кредитные</w:t>
            </w:r>
            <w:r w:rsidRPr="00CF0FC8">
              <w:rPr>
                <w:rFonts w:ascii="Times New Roman" w:hAnsi="Times New Roman" w:cs="Times New Roman"/>
              </w:rPr>
              <w:t xml:space="preserve"> </w:t>
            </w:r>
            <w:r w:rsidRPr="00CF0FC8">
              <w:rPr>
                <w:rFonts w:ascii="Times New Roman" w:hAnsi="Times New Roman" w:cs="Times New Roman"/>
              </w:rPr>
              <w:t>организации</w:t>
            </w:r>
            <w:r w:rsidRPr="00CF0FC8">
              <w:rPr>
                <w:rFonts w:ascii="Times New Roman" w:hAnsi="Times New Roman" w:cs="Times New Roman"/>
              </w:rPr>
              <w:t xml:space="preserve"> </w:t>
            </w:r>
            <w:r w:rsidRPr="00CF0FC8">
              <w:rPr>
                <w:rFonts w:ascii="Times New Roman" w:hAnsi="Times New Roman" w:cs="Times New Roman"/>
              </w:rPr>
              <w:t>включают ссудную задолженность связанных с ними лиц в расчет с весом 1,3. Такой подход не в полной мере предусматривает учет прочих значимых факторов, в т.ч. стратегической значимости заемщиков и участия государства в их капитале.</w:t>
            </w:r>
          </w:p>
          <w:p w:rsidR="002E2468" w:rsidRPr="00CF0FC8" w:rsidRDefault="00CF0FC8" w:rsidP="00CF0FC8">
            <w:pPr>
              <w:jc w:val="both"/>
              <w:rPr>
                <w:rFonts w:ascii="Times New Roman" w:hAnsi="Times New Roman" w:cs="Times New Roman"/>
              </w:rPr>
            </w:pPr>
            <w:r w:rsidRPr="00CF0FC8">
              <w:rPr>
                <w:rFonts w:ascii="Times New Roman" w:hAnsi="Times New Roman" w:cs="Times New Roman"/>
              </w:rPr>
              <w:t>В этой связи предлагается рассмотреть возможность включения ссудной задолженности связанных с кредитной организацией лиц в расчет нормативов достаточности капитала кредитных организаций с весом 1,0 в случае, если такие лица относятся на ссуды, предоставленные юридическим лицам, входящим в перечень стратегических предприятий,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предоставленные</w:t>
            </w:r>
            <w:r w:rsidRPr="00CF0FC8">
              <w:rPr>
                <w:rFonts w:ascii="Times New Roman" w:hAnsi="Times New Roman" w:cs="Times New Roman"/>
              </w:rPr>
              <w:t xml:space="preserve"> </w:t>
            </w:r>
            <w:r w:rsidRPr="00CF0FC8">
              <w:rPr>
                <w:rFonts w:ascii="Times New Roman" w:hAnsi="Times New Roman" w:cs="Times New Roman"/>
              </w:rPr>
              <w:t>организации оборонно-промышленного комплекса для целей выполнения (реализации) государственного оборонного заказа, а также имеющие участие государства в уставных капиталах.</w:t>
            </w:r>
          </w:p>
        </w:tc>
        <w:tc>
          <w:tcPr>
            <w:tcW w:w="6768" w:type="dxa"/>
          </w:tcPr>
          <w:p w:rsidR="002E2468" w:rsidRPr="00CF0FC8" w:rsidRDefault="00CF0FC8" w:rsidP="00CF0FC8">
            <w:pPr>
              <w:jc w:val="both"/>
              <w:rPr>
                <w:rFonts w:ascii="Times New Roman" w:hAnsi="Times New Roman" w:cs="Times New Roman"/>
              </w:rPr>
            </w:pPr>
            <w:r w:rsidRPr="00CF0FC8">
              <w:rPr>
                <w:rFonts w:ascii="Times New Roman" w:hAnsi="Times New Roman" w:cs="Times New Roman"/>
              </w:rPr>
              <w:t>Данный вопрос рассматривается в Банке России. Решение будет принято по результатам анализа эффективности ограничения рисков кредитования связанных с банком лиц нормативом Н25 (норматив максимального размера риска на связанное с банком лицо (группу связанных с банком лиц)). Для данного анализа необходимо изучение практики соблюдения банками норматива Н25 без учета понижающего коэффициента 50%, применяемого до конца текущего года к рассматриваемым в вопросе заемщикам.</w:t>
            </w:r>
          </w:p>
        </w:tc>
      </w:tr>
    </w:tbl>
    <w:p w:rsidR="00574281" w:rsidRDefault="00574281"/>
    <w:sectPr w:rsidR="00574281" w:rsidSect="00574281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81" w:rsidRDefault="00574281" w:rsidP="00574281">
      <w:pPr>
        <w:spacing w:after="0" w:line="240" w:lineRule="auto"/>
      </w:pPr>
      <w:r>
        <w:separator/>
      </w:r>
    </w:p>
  </w:endnote>
  <w:endnote w:type="continuationSeparator" w:id="0">
    <w:p w:rsidR="00574281" w:rsidRDefault="00574281" w:rsidP="005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598835"/>
      <w:docPartObj>
        <w:docPartGallery w:val="Page Numbers (Bottom of Page)"/>
        <w:docPartUnique/>
      </w:docPartObj>
    </w:sdtPr>
    <w:sdtContent>
      <w:p w:rsidR="00840B00" w:rsidRDefault="00840B00" w:rsidP="00840B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81" w:rsidRDefault="00574281" w:rsidP="00574281">
      <w:pPr>
        <w:spacing w:after="0" w:line="240" w:lineRule="auto"/>
      </w:pPr>
      <w:r>
        <w:separator/>
      </w:r>
    </w:p>
  </w:footnote>
  <w:footnote w:type="continuationSeparator" w:id="0">
    <w:p w:rsidR="00574281" w:rsidRDefault="00574281" w:rsidP="00574281">
      <w:pPr>
        <w:spacing w:after="0" w:line="240" w:lineRule="auto"/>
      </w:pPr>
      <w:r>
        <w:continuationSeparator/>
      </w:r>
    </w:p>
  </w:footnote>
  <w:footnote w:id="1">
    <w:p w:rsidR="00574281" w:rsidRDefault="00574281">
      <w:pPr>
        <w:pStyle w:val="a8"/>
      </w:pPr>
      <w:r>
        <w:rPr>
          <w:rStyle w:val="aa"/>
        </w:rPr>
        <w:footnoteRef/>
      </w:r>
      <w:r>
        <w:t xml:space="preserve"> </w:t>
      </w:r>
      <w:r>
        <w:t>Далее по тексту — Положение 590-П</w:t>
      </w:r>
    </w:p>
  </w:footnote>
  <w:footnote w:id="2">
    <w:p w:rsidR="001607B4" w:rsidRPr="001607B4" w:rsidRDefault="001607B4">
      <w:pPr>
        <w:pStyle w:val="a8"/>
        <w:rPr>
          <w:lang w:val="en-US"/>
        </w:rPr>
      </w:pPr>
      <w:r>
        <w:rPr>
          <w:rStyle w:val="aa"/>
        </w:rPr>
        <w:footnoteRef/>
      </w:r>
      <w:r w:rsidRPr="001607B4">
        <w:rPr>
          <w:lang w:val="en-US"/>
        </w:rPr>
        <w:t xml:space="preserve"> </w:t>
      </w:r>
      <w:r>
        <w:rPr>
          <w:lang w:val="en-US" w:bidi="en-US"/>
        </w:rPr>
        <w:t xml:space="preserve">Basel Ill: </w:t>
      </w:r>
      <w:proofErr w:type="spellStart"/>
      <w:r>
        <w:rPr>
          <w:lang w:val="en-US" w:bidi="en-US"/>
        </w:rPr>
        <w:t>Finalising</w:t>
      </w:r>
      <w:proofErr w:type="spellEnd"/>
      <w:r>
        <w:rPr>
          <w:lang w:val="en-US" w:bidi="en-US"/>
        </w:rPr>
        <w:t xml:space="preserve"> post-crisis reforms, December 2017</w:t>
      </w:r>
    </w:p>
  </w:footnote>
  <w:footnote w:id="3">
    <w:p w:rsidR="00C86CBD" w:rsidRDefault="00C86CBD">
      <w:pPr>
        <w:pStyle w:val="a8"/>
      </w:pPr>
      <w:r>
        <w:rPr>
          <w:rStyle w:val="aa"/>
        </w:rPr>
        <w:footnoteRef/>
      </w:r>
      <w:r>
        <w:t xml:space="preserve"> </w:t>
      </w:r>
      <w:r>
        <w:t>Банки с базовой лицензией вправе совершать операции и сделки только с ценными бумагами, включенными в котировальный список первого (высшего) уровня организатора торгов, в капитале которого участвует Банк России, и иными ценными бумагами, соответствующими требованиям, установленным нормативным актом Банка России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C3A"/>
    <w:multiLevelType w:val="multilevel"/>
    <w:tmpl w:val="1FE05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86652"/>
    <w:multiLevelType w:val="multilevel"/>
    <w:tmpl w:val="23840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97937"/>
    <w:multiLevelType w:val="multilevel"/>
    <w:tmpl w:val="ED686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0548C"/>
    <w:multiLevelType w:val="multilevel"/>
    <w:tmpl w:val="AD063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757F53"/>
    <w:multiLevelType w:val="multilevel"/>
    <w:tmpl w:val="E6004E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B22C6B"/>
    <w:multiLevelType w:val="multilevel"/>
    <w:tmpl w:val="9E18AF1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1"/>
    <w:rsid w:val="0000334C"/>
    <w:rsid w:val="000C4E42"/>
    <w:rsid w:val="001073BE"/>
    <w:rsid w:val="00107995"/>
    <w:rsid w:val="001607B4"/>
    <w:rsid w:val="00171D6B"/>
    <w:rsid w:val="001B22BC"/>
    <w:rsid w:val="002E2468"/>
    <w:rsid w:val="003F7DF8"/>
    <w:rsid w:val="00472DC1"/>
    <w:rsid w:val="00476753"/>
    <w:rsid w:val="004A1892"/>
    <w:rsid w:val="004A3D77"/>
    <w:rsid w:val="00522CEB"/>
    <w:rsid w:val="00553002"/>
    <w:rsid w:val="00574281"/>
    <w:rsid w:val="007A3486"/>
    <w:rsid w:val="00840B00"/>
    <w:rsid w:val="00A07186"/>
    <w:rsid w:val="00A17BBD"/>
    <w:rsid w:val="00B6656C"/>
    <w:rsid w:val="00C239C2"/>
    <w:rsid w:val="00C86CBD"/>
    <w:rsid w:val="00CD17F5"/>
    <w:rsid w:val="00CF0FC8"/>
    <w:rsid w:val="00CF77DA"/>
    <w:rsid w:val="00D6370F"/>
    <w:rsid w:val="00E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1272"/>
  <w15:chartTrackingRefBased/>
  <w15:docId w15:val="{107BBDFC-D089-4D61-B81F-0B967019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742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742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57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5742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7428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5742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428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428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4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B00"/>
  </w:style>
  <w:style w:type="paragraph" w:styleId="ad">
    <w:name w:val="footer"/>
    <w:basedOn w:val="a"/>
    <w:link w:val="ae"/>
    <w:uiPriority w:val="99"/>
    <w:unhideWhenUsed/>
    <w:rsid w:val="0084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3232-7F03-4282-B68F-78A361D4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7427</Words>
  <Characters>42337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Елена</dc:creator>
  <cp:keywords/>
  <dc:description/>
  <cp:lastModifiedBy>Самохина Елена</cp:lastModifiedBy>
  <cp:revision>23</cp:revision>
  <dcterms:created xsi:type="dcterms:W3CDTF">2018-05-02T13:16:00Z</dcterms:created>
  <dcterms:modified xsi:type="dcterms:W3CDTF">2018-05-02T14:12:00Z</dcterms:modified>
</cp:coreProperties>
</file>