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B5" w:rsidRPr="00793BBC" w:rsidRDefault="00A470B5" w:rsidP="00A470B5">
      <w:pPr>
        <w:jc w:val="center"/>
        <w:rPr>
          <w:rFonts w:ascii="Times New Roman" w:hAnsi="Times New Roman"/>
          <w:b/>
          <w:sz w:val="28"/>
        </w:rPr>
      </w:pPr>
      <w:r w:rsidRPr="00793BBC">
        <w:rPr>
          <w:rFonts w:ascii="Times New Roman" w:hAnsi="Times New Roman"/>
          <w:b/>
          <w:spacing w:val="60"/>
          <w:sz w:val="28"/>
        </w:rPr>
        <w:t>ПРОГРАММА</w:t>
      </w:r>
      <w:r w:rsidRPr="00793BBC">
        <w:rPr>
          <w:rFonts w:ascii="Times New Roman" w:hAnsi="Times New Roman"/>
          <w:b/>
          <w:sz w:val="28"/>
        </w:rPr>
        <w:br/>
        <w:t>XXV Международного финансового конгресса</w:t>
      </w:r>
      <w:r w:rsidRPr="00793BBC">
        <w:rPr>
          <w:rFonts w:ascii="Times New Roman" w:hAnsi="Times New Roman"/>
          <w:b/>
          <w:sz w:val="28"/>
        </w:rPr>
        <w:br/>
        <w:t>«Перспективы развития финансового рынка»</w:t>
      </w:r>
      <w:r w:rsidRPr="00793BBC">
        <w:rPr>
          <w:rFonts w:ascii="Times New Roman" w:hAnsi="Times New Roman"/>
          <w:b/>
          <w:sz w:val="28"/>
        </w:rPr>
        <w:br/>
        <w:t>г.</w:t>
      </w:r>
      <w:r w:rsidR="00941780" w:rsidRPr="00793BBC">
        <w:rPr>
          <w:rFonts w:ascii="Times New Roman" w:hAnsi="Times New Roman"/>
          <w:b/>
          <w:sz w:val="28"/>
        </w:rPr>
        <w:t xml:space="preserve"> </w:t>
      </w:r>
      <w:r w:rsidRPr="00793BBC">
        <w:rPr>
          <w:rFonts w:ascii="Times New Roman" w:hAnsi="Times New Roman"/>
          <w:b/>
          <w:sz w:val="28"/>
        </w:rPr>
        <w:t>Санкт-Петербург, Россия</w:t>
      </w:r>
      <w:r w:rsidRPr="00793BBC">
        <w:rPr>
          <w:rFonts w:ascii="Times New Roman" w:hAnsi="Times New Roman"/>
          <w:b/>
          <w:sz w:val="28"/>
        </w:rPr>
        <w:br/>
        <w:t xml:space="preserve">29 июня </w:t>
      </w:r>
      <w:r w:rsidR="00793BBC">
        <w:rPr>
          <w:rFonts w:ascii="Times New Roman" w:hAnsi="Times New Roman"/>
          <w:b/>
          <w:sz w:val="28"/>
        </w:rPr>
        <w:t>—</w:t>
      </w:r>
      <w:r w:rsidR="00793BBC" w:rsidRPr="00793BBC">
        <w:rPr>
          <w:rFonts w:ascii="Times New Roman" w:hAnsi="Times New Roman"/>
          <w:b/>
          <w:sz w:val="28"/>
        </w:rPr>
        <w:t xml:space="preserve"> </w:t>
      </w:r>
      <w:r w:rsidRPr="00793BBC">
        <w:rPr>
          <w:rFonts w:ascii="Times New Roman" w:hAnsi="Times New Roman"/>
          <w:b/>
          <w:sz w:val="28"/>
        </w:rPr>
        <w:t>1 июля 2016 года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A470B5" w:rsidRPr="00793BBC" w:rsidTr="00E46D19">
        <w:trPr>
          <w:trHeight w:val="499"/>
        </w:trPr>
        <w:tc>
          <w:tcPr>
            <w:tcW w:w="1951" w:type="dxa"/>
            <w:shd w:val="clear" w:color="auto" w:fill="D9D9D9"/>
          </w:tcPr>
          <w:p w:rsidR="00A470B5" w:rsidRPr="00793BBC" w:rsidRDefault="00A470B5" w:rsidP="00E46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29 июня 2016 г.</w:t>
            </w:r>
            <w:r w:rsidR="00E46D19" w:rsidRPr="00793BBC">
              <w:rPr>
                <w:rFonts w:ascii="Times New Roman" w:hAnsi="Times New Roman"/>
                <w:b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620" w:type="dxa"/>
            <w:shd w:val="clear" w:color="auto" w:fill="D9D9D9"/>
          </w:tcPr>
          <w:p w:rsidR="00A470B5" w:rsidRPr="00793BBC" w:rsidRDefault="00A470B5" w:rsidP="00810550">
            <w:pPr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День прибытия, регистрация</w:t>
            </w:r>
          </w:p>
        </w:tc>
      </w:tr>
      <w:tr w:rsidR="00A470B5" w:rsidRPr="00793BBC" w:rsidTr="00810550">
        <w:trPr>
          <w:trHeight w:val="725"/>
        </w:trPr>
        <w:tc>
          <w:tcPr>
            <w:tcW w:w="1951" w:type="dxa"/>
          </w:tcPr>
          <w:p w:rsidR="00A470B5" w:rsidRPr="00793BBC" w:rsidRDefault="00A470B5" w:rsidP="00E46D1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19:30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23:00</w:t>
            </w:r>
          </w:p>
        </w:tc>
        <w:tc>
          <w:tcPr>
            <w:tcW w:w="7620" w:type="dxa"/>
          </w:tcPr>
          <w:p w:rsidR="00A470B5" w:rsidRPr="00793BBC" w:rsidRDefault="00A470B5" w:rsidP="005E003D">
            <w:pPr>
              <w:spacing w:before="120" w:after="0"/>
              <w:ind w:left="34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 xml:space="preserve">Балетный спектакль Бориса Эйфмана в Александринском театре, </w:t>
            </w:r>
          </w:p>
          <w:p w:rsidR="00A470B5" w:rsidRPr="00793BBC" w:rsidRDefault="00A470B5" w:rsidP="005E003D">
            <w:pPr>
              <w:ind w:left="708" w:hanging="674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 xml:space="preserve">вечерний фуршет </w:t>
            </w:r>
            <w:r w:rsidRPr="00793BBC">
              <w:rPr>
                <w:rFonts w:ascii="Times New Roman" w:hAnsi="Times New Roman"/>
                <w:i/>
              </w:rPr>
              <w:t>(по приглашениям)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shd w:val="clear" w:color="auto" w:fill="D9D9D9"/>
          </w:tcPr>
          <w:p w:rsidR="00A470B5" w:rsidRPr="00793BBC" w:rsidRDefault="00A470B5" w:rsidP="00E46D1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30 июня 2016 г.</w:t>
            </w:r>
            <w:r w:rsidR="00E46D19" w:rsidRPr="00793BBC">
              <w:rPr>
                <w:rFonts w:ascii="Times New Roman" w:hAnsi="Times New Roman"/>
                <w:b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7620" w:type="dxa"/>
            <w:shd w:val="clear" w:color="auto" w:fill="D9D9D9"/>
          </w:tcPr>
          <w:p w:rsidR="00A470B5" w:rsidRPr="00793BBC" w:rsidRDefault="009A6CA4" w:rsidP="00E46D1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 xml:space="preserve">День первый: </w:t>
            </w:r>
            <w:r w:rsidR="00A470B5" w:rsidRPr="00793BBC">
              <w:rPr>
                <w:rFonts w:ascii="Times New Roman" w:hAnsi="Times New Roman"/>
                <w:b/>
              </w:rPr>
              <w:t>XXV Международный финансовый конгресс</w:t>
            </w:r>
          </w:p>
          <w:p w:rsidR="00A470B5" w:rsidRPr="00793BBC" w:rsidRDefault="009A6CA4" w:rsidP="00D4782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Конгресс</w:t>
            </w:r>
            <w:r w:rsidR="00D47821">
              <w:rPr>
                <w:rFonts w:ascii="Times New Roman" w:hAnsi="Times New Roman"/>
                <w:b/>
              </w:rPr>
              <w:t>но</w:t>
            </w:r>
            <w:r w:rsidR="004A4F63" w:rsidRPr="00793BBC">
              <w:rPr>
                <w:rFonts w:ascii="Times New Roman" w:hAnsi="Times New Roman"/>
                <w:b/>
              </w:rPr>
              <w:t>-</w:t>
            </w:r>
            <w:r w:rsidR="00D47821">
              <w:rPr>
                <w:rFonts w:ascii="Times New Roman" w:hAnsi="Times New Roman"/>
                <w:b/>
              </w:rPr>
              <w:t xml:space="preserve">выставочный </w:t>
            </w:r>
            <w:r w:rsidR="004A4F63" w:rsidRPr="00793BBC">
              <w:rPr>
                <w:rFonts w:ascii="Times New Roman" w:hAnsi="Times New Roman"/>
                <w:b/>
              </w:rPr>
              <w:t xml:space="preserve">центр </w:t>
            </w:r>
            <w:r w:rsidRPr="00793BBC">
              <w:rPr>
                <w:rFonts w:ascii="Times New Roman" w:hAnsi="Times New Roman"/>
                <w:b/>
              </w:rPr>
              <w:t>«</w:t>
            </w:r>
            <w:proofErr w:type="spellStart"/>
            <w:r w:rsidRPr="00793BBC">
              <w:rPr>
                <w:rFonts w:ascii="Times New Roman" w:hAnsi="Times New Roman"/>
                <w:b/>
              </w:rPr>
              <w:t>Экспофорум</w:t>
            </w:r>
            <w:proofErr w:type="spellEnd"/>
            <w:r w:rsidRPr="00793BBC">
              <w:rPr>
                <w:rFonts w:ascii="Times New Roman" w:hAnsi="Times New Roman"/>
                <w:b/>
              </w:rPr>
              <w:t>», Санкт-Петербург</w:t>
            </w:r>
          </w:p>
        </w:tc>
      </w:tr>
      <w:tr w:rsidR="00A470B5" w:rsidRPr="00793BBC" w:rsidTr="00810550">
        <w:trPr>
          <w:trHeight w:val="541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08:00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09:00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Регистрация</w:t>
            </w:r>
          </w:p>
        </w:tc>
      </w:tr>
      <w:tr w:rsidR="00A470B5" w:rsidRPr="00793BBC" w:rsidTr="00810550">
        <w:trPr>
          <w:trHeight w:val="895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09:00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09:30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 xml:space="preserve">Приветственная речь Губернатора Санкт-Петербурга </w:t>
            </w:r>
            <w:r w:rsidRPr="00793BBC">
              <w:rPr>
                <w:rFonts w:ascii="Times New Roman" w:hAnsi="Times New Roman"/>
                <w:b/>
              </w:rPr>
              <w:t>Георгия Полтавченко</w:t>
            </w:r>
          </w:p>
          <w:p w:rsidR="00A470B5" w:rsidRPr="00793BBC" w:rsidRDefault="00A470B5" w:rsidP="0013337A">
            <w:pPr>
              <w:spacing w:after="120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Приветствия, поступившие в адрес МФК</w:t>
            </w:r>
            <w:r w:rsidR="0013337A" w:rsidRPr="00793BBC">
              <w:rPr>
                <w:rFonts w:ascii="Times New Roman" w:hAnsi="Times New Roman"/>
              </w:rPr>
              <w:t>-2016</w:t>
            </w:r>
          </w:p>
        </w:tc>
      </w:tr>
      <w:tr w:rsidR="00A470B5" w:rsidRPr="00793BBC" w:rsidTr="00810550">
        <w:trPr>
          <w:trHeight w:val="537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09:30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10:00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 xml:space="preserve">Выступление Председателя Центрального банка Российской Федерации </w:t>
            </w:r>
            <w:r w:rsidRPr="00793BBC">
              <w:rPr>
                <w:rFonts w:ascii="Times New Roman" w:hAnsi="Times New Roman"/>
                <w:b/>
              </w:rPr>
              <w:t xml:space="preserve">Эльвиры </w:t>
            </w:r>
            <w:proofErr w:type="spellStart"/>
            <w:r w:rsidRPr="00793BBC">
              <w:rPr>
                <w:rFonts w:ascii="Times New Roman" w:hAnsi="Times New Roman"/>
                <w:b/>
              </w:rPr>
              <w:t>Набиуллиной</w:t>
            </w:r>
            <w:proofErr w:type="spellEnd"/>
          </w:p>
        </w:tc>
      </w:tr>
      <w:tr w:rsidR="00A470B5" w:rsidRPr="00793BBC" w:rsidTr="00810550">
        <w:trPr>
          <w:trHeight w:val="398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10:00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7620" w:type="dxa"/>
            <w:shd w:val="clear" w:color="auto" w:fill="FFFFFF" w:themeFill="background1"/>
          </w:tcPr>
          <w:p w:rsidR="00A470B5" w:rsidRPr="00793BBC" w:rsidRDefault="00A470B5" w:rsidP="0013337A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1</w:t>
            </w:r>
            <w:r w:rsidRPr="00793BBC">
              <w:rPr>
                <w:rFonts w:ascii="Times New Roman" w:hAnsi="Times New Roman"/>
              </w:rPr>
              <w:t>:</w:t>
            </w:r>
            <w:r w:rsidRPr="00793BBC">
              <w:rPr>
                <w:rFonts w:ascii="Times New Roman" w:hAnsi="Times New Roman"/>
                <w:b/>
              </w:rPr>
              <w:t xml:space="preserve"> Развитие экономики и финансов</w:t>
            </w:r>
          </w:p>
          <w:p w:rsidR="00413A02" w:rsidRDefault="00413A02" w:rsidP="00413A02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413A02">
              <w:rPr>
                <w:rFonts w:ascii="Times New Roman" w:hAnsi="Times New Roman"/>
                <w:i/>
              </w:rPr>
              <w:t xml:space="preserve">В глобальном </w:t>
            </w:r>
            <w:proofErr w:type="gramStart"/>
            <w:r w:rsidRPr="00413A02">
              <w:rPr>
                <w:rFonts w:ascii="Times New Roman" w:hAnsi="Times New Roman"/>
                <w:i/>
              </w:rPr>
              <w:t>масштабе</w:t>
            </w:r>
            <w:proofErr w:type="gramEnd"/>
            <w:r w:rsidRPr="00413A02">
              <w:rPr>
                <w:rFonts w:ascii="Times New Roman" w:hAnsi="Times New Roman"/>
                <w:i/>
              </w:rPr>
              <w:t xml:space="preserve"> мы сталкиваемся с такими трудностями, как снижение цен на нефть, постоянно слабый уровень глобального роста и недавняя смена Китаем своей модели роста. С 2008 г. центральные банки имеют возможность обеспечивать глобальный экономический рост при помощи инструментов валютного рынка и других возможностей из области своей политики. До сих пор масштабные политические интервенции центральных банков не оказали значительной помощи в борьбе с удручающей “новой нормальностью”, характеризующейся низким уровнем роста. Низкие цены на нефть наносят ущерб экономике нефтедобывающих стран, но все еще недостаточно способствуют росту в остальном мире. Некоторые банки только осваивают недавно открытую территорию отрицательных процентных ставок, а несколько стран “Большой двадцатки” заявили о недостаточном количестве ресурсов для дальнейшего оказания поддержки глобального налогово-бюджетного стимулирования. Инвесторы внимательно следят за ситуацией в Китае и пытаются выяснить, помогают ли меры, принятые правительством страны, избежать “жесткой посадки”. Какие инструменты могут использовать банки для решения текущих глобальных задач? Какие перемены должны осуществить в своей политике глобальные лидеры перед лицом нового экономического или рыночного кризиса?</w:t>
            </w:r>
          </w:p>
          <w:p w:rsidR="00A470B5" w:rsidRPr="00793BBC" w:rsidRDefault="00A470B5" w:rsidP="0013337A">
            <w:pPr>
              <w:spacing w:after="120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С приглашением глав центральных банков зарубежных стран и международных экспертов</w:t>
            </w:r>
          </w:p>
        </w:tc>
      </w:tr>
      <w:tr w:rsidR="00A470B5" w:rsidRPr="00793BBC" w:rsidTr="00810550">
        <w:trPr>
          <w:trHeight w:val="398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11:30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12:00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Кофе-брейк</w:t>
            </w:r>
          </w:p>
        </w:tc>
      </w:tr>
      <w:tr w:rsidR="00A470B5" w:rsidRPr="00793BBC" w:rsidTr="00810550">
        <w:trPr>
          <w:trHeight w:val="398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lastRenderedPageBreak/>
              <w:t>12:00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13:30</w:t>
            </w:r>
          </w:p>
        </w:tc>
        <w:tc>
          <w:tcPr>
            <w:tcW w:w="7620" w:type="dxa"/>
            <w:shd w:val="clear" w:color="auto" w:fill="FFFFFF" w:themeFill="background1"/>
          </w:tcPr>
          <w:p w:rsidR="00A470B5" w:rsidRPr="00793BBC" w:rsidRDefault="00A470B5" w:rsidP="0013337A">
            <w:pPr>
              <w:spacing w:before="120" w:after="120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2</w:t>
            </w:r>
            <w:r w:rsidRPr="00793BBC">
              <w:rPr>
                <w:rFonts w:ascii="Times New Roman" w:hAnsi="Times New Roman"/>
              </w:rPr>
              <w:t xml:space="preserve">: </w:t>
            </w:r>
            <w:r w:rsidRPr="00793BBC">
              <w:rPr>
                <w:rFonts w:ascii="Times New Roman" w:hAnsi="Times New Roman"/>
                <w:b/>
              </w:rPr>
              <w:t xml:space="preserve">Денежно-кредитная политика в условиях глобальной неопределенности: уроки и перспективы </w:t>
            </w:r>
          </w:p>
          <w:p w:rsidR="00A470B5" w:rsidRPr="00793BBC" w:rsidRDefault="00A470B5" w:rsidP="0013337A">
            <w:pPr>
              <w:spacing w:after="0"/>
              <w:ind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Глобальная неопределенность как ключевой вызов при разработке и проведении денежно-кредитной политики. Можно ли извлечь уроки для будущего?</w:t>
            </w:r>
          </w:p>
          <w:p w:rsidR="00A470B5" w:rsidRPr="00793BBC" w:rsidRDefault="00A470B5" w:rsidP="0013337A">
            <w:pPr>
              <w:spacing w:after="0"/>
              <w:ind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Поддержание экономической стабильности в условиях роста неопределенности. Эволюция подходов к режиму </w:t>
            </w:r>
            <w:proofErr w:type="gramStart"/>
            <w:r w:rsidRPr="00793BBC">
              <w:rPr>
                <w:rFonts w:ascii="Times New Roman" w:hAnsi="Times New Roman"/>
                <w:i/>
              </w:rPr>
              <w:t>инфляционного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3BBC">
              <w:rPr>
                <w:rFonts w:ascii="Times New Roman" w:hAnsi="Times New Roman"/>
                <w:i/>
              </w:rPr>
              <w:t>таргетирования</w:t>
            </w:r>
            <w:proofErr w:type="spellEnd"/>
            <w:r w:rsidRPr="00793BBC">
              <w:rPr>
                <w:rFonts w:ascii="Times New Roman" w:hAnsi="Times New Roman"/>
                <w:i/>
              </w:rPr>
              <w:t xml:space="preserve">. Как </w:t>
            </w:r>
            <w:proofErr w:type="gramStart"/>
            <w:r w:rsidRPr="00793BBC">
              <w:rPr>
                <w:rFonts w:ascii="Times New Roman" w:hAnsi="Times New Roman"/>
                <w:i/>
              </w:rPr>
              <w:t>инфляционное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93BBC">
              <w:rPr>
                <w:rFonts w:ascii="Times New Roman" w:hAnsi="Times New Roman"/>
                <w:i/>
              </w:rPr>
              <w:t>таргетирование</w:t>
            </w:r>
            <w:proofErr w:type="spellEnd"/>
            <w:r w:rsidRPr="00793BBC">
              <w:rPr>
                <w:rFonts w:ascii="Times New Roman" w:hAnsi="Times New Roman"/>
                <w:i/>
              </w:rPr>
              <w:t xml:space="preserve"> позволяет отвечать на текущие вызовы?</w:t>
            </w:r>
          </w:p>
          <w:p w:rsidR="00A470B5" w:rsidRPr="00793BBC" w:rsidRDefault="00A470B5" w:rsidP="0013337A">
            <w:pPr>
              <w:spacing w:after="0"/>
              <w:ind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Трансформация операционной процедуры денежно-кредитной политики на современном этапе: изменение условий, проблемы и опыт их преодоления.</w:t>
            </w:r>
          </w:p>
          <w:p w:rsidR="001A072D" w:rsidRPr="001A072D" w:rsidRDefault="001A072D" w:rsidP="00413A02">
            <w:pPr>
              <w:spacing w:after="120"/>
              <w:ind w:firstLine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r w:rsidRPr="001A072D">
              <w:rPr>
                <w:rFonts w:ascii="Times New Roman" w:hAnsi="Times New Roman"/>
                <w:i/>
              </w:rPr>
              <w:t>чёт рисков для инфляции, экономического роста и фин</w:t>
            </w:r>
            <w:r>
              <w:rPr>
                <w:rFonts w:ascii="Times New Roman" w:hAnsi="Times New Roman"/>
                <w:i/>
              </w:rPr>
              <w:t>ансовой</w:t>
            </w:r>
            <w:r w:rsidRPr="001A072D">
              <w:rPr>
                <w:rFonts w:ascii="Times New Roman" w:hAnsi="Times New Roman"/>
                <w:i/>
              </w:rPr>
              <w:t xml:space="preserve"> стабильности при </w:t>
            </w:r>
            <w:r w:rsidR="00413A02" w:rsidRPr="001A072D">
              <w:rPr>
                <w:rFonts w:ascii="Times New Roman" w:hAnsi="Times New Roman"/>
                <w:i/>
              </w:rPr>
              <w:t>приняти</w:t>
            </w:r>
            <w:r w:rsidR="00413A02">
              <w:rPr>
                <w:rFonts w:ascii="Times New Roman" w:hAnsi="Times New Roman"/>
                <w:i/>
              </w:rPr>
              <w:t>и</w:t>
            </w:r>
            <w:r w:rsidR="00413A02" w:rsidRPr="001A072D">
              <w:rPr>
                <w:rFonts w:ascii="Times New Roman" w:hAnsi="Times New Roman"/>
                <w:i/>
              </w:rPr>
              <w:t xml:space="preserve"> </w:t>
            </w:r>
            <w:r w:rsidRPr="001A072D">
              <w:rPr>
                <w:rFonts w:ascii="Times New Roman" w:hAnsi="Times New Roman"/>
                <w:i/>
              </w:rPr>
              <w:t xml:space="preserve">решений. </w:t>
            </w:r>
          </w:p>
        </w:tc>
      </w:tr>
      <w:tr w:rsidR="00A470B5" w:rsidRPr="00793BBC" w:rsidTr="00810550">
        <w:trPr>
          <w:trHeight w:val="489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13:30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14:30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Обед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</w:tcPr>
          <w:p w:rsidR="00A470B5" w:rsidRPr="00793BBC" w:rsidRDefault="00A470B5" w:rsidP="0013337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14:30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3</w:t>
            </w:r>
            <w:r w:rsidRPr="00793BBC">
              <w:rPr>
                <w:rFonts w:ascii="Times New Roman" w:hAnsi="Times New Roman"/>
              </w:rPr>
              <w:t>:</w:t>
            </w:r>
            <w:r w:rsidRPr="00793BBC">
              <w:rPr>
                <w:rFonts w:ascii="Times New Roman" w:hAnsi="Times New Roman"/>
                <w:b/>
              </w:rPr>
              <w:t xml:space="preserve"> Банковский бизнес: </w:t>
            </w:r>
            <w:proofErr w:type="gramStart"/>
            <w:r w:rsidRPr="00793BBC">
              <w:rPr>
                <w:rFonts w:ascii="Times New Roman" w:hAnsi="Times New Roman"/>
                <w:b/>
              </w:rPr>
              <w:t>через</w:t>
            </w:r>
            <w:proofErr w:type="gramEnd"/>
            <w:r w:rsidRPr="00793BBC">
              <w:rPr>
                <w:rFonts w:ascii="Times New Roman" w:hAnsi="Times New Roman"/>
                <w:b/>
              </w:rPr>
              <w:t xml:space="preserve"> тернии к звездам?</w:t>
            </w:r>
          </w:p>
          <w:p w:rsidR="00A470B5" w:rsidRPr="00793BBC" w:rsidRDefault="00A470B5" w:rsidP="0013337A">
            <w:pPr>
              <w:spacing w:after="120"/>
              <w:ind w:firstLine="34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793BBC">
              <w:rPr>
                <w:rFonts w:ascii="Times New Roman" w:hAnsi="Times New Roman"/>
                <w:i/>
              </w:rPr>
              <w:t>Предполагается обсудить последние глобальные изменения в сфере регулирования банковского сектора, нацеленные на снижение системных рисков и на поддержание системной устойчивости; задачи по развитию банковского надзора и вызовы, которые стоят перед банками в различных странах в связи с</w:t>
            </w:r>
            <w:r w:rsidR="00EA4C6C" w:rsidRPr="00793BBC">
              <w:rPr>
                <w:rFonts w:ascii="Times New Roman" w:hAnsi="Times New Roman"/>
                <w:i/>
              </w:rPr>
              <w:t xml:space="preserve"> ростом регулятивной нагрузки; </w:t>
            </w:r>
            <w:r w:rsidRPr="00793BBC">
              <w:rPr>
                <w:rFonts w:ascii="Times New Roman" w:hAnsi="Times New Roman"/>
                <w:i/>
              </w:rPr>
              <w:t>тематику возможностей и рисков, возникающих в связи с масштабным внедрением в банковскую практику новых технологий.</w:t>
            </w:r>
            <w:proofErr w:type="gramEnd"/>
          </w:p>
        </w:tc>
      </w:tr>
      <w:tr w:rsidR="00A470B5" w:rsidRPr="00793BBC" w:rsidTr="00810550">
        <w:trPr>
          <w:trHeight w:val="479"/>
        </w:trPr>
        <w:tc>
          <w:tcPr>
            <w:tcW w:w="1951" w:type="dxa"/>
            <w:tcBorders>
              <w:bottom w:val="single" w:sz="4" w:space="0" w:color="auto"/>
            </w:tcBorders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16:00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7620" w:type="dxa"/>
          </w:tcPr>
          <w:p w:rsidR="00A470B5" w:rsidRPr="00793BBC" w:rsidRDefault="00A470B5" w:rsidP="0013337A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Кофе-брейк</w:t>
            </w:r>
          </w:p>
        </w:tc>
      </w:tr>
      <w:tr w:rsidR="00A470B5" w:rsidRPr="00793BBC" w:rsidTr="00810550">
        <w:trPr>
          <w:trHeight w:val="218"/>
        </w:trPr>
        <w:tc>
          <w:tcPr>
            <w:tcW w:w="1951" w:type="dxa"/>
            <w:tcBorders>
              <w:bottom w:val="nil"/>
            </w:tcBorders>
          </w:tcPr>
          <w:p w:rsidR="00A470B5" w:rsidRPr="00793BBC" w:rsidRDefault="00A470B5" w:rsidP="0013337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16:30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620" w:type="dxa"/>
          </w:tcPr>
          <w:p w:rsidR="00A470B5" w:rsidRPr="00793BBC" w:rsidRDefault="00A470B5" w:rsidP="00793BBC">
            <w:pPr>
              <w:pStyle w:val="af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793BBC">
              <w:rPr>
                <w:rFonts w:ascii="Times New Roman" w:eastAsia="MS ??" w:hAnsi="Times New Roman" w:cs="Times New Roman"/>
                <w:b/>
                <w:u w:val="single"/>
                <w:lang w:eastAsia="ru-RU"/>
              </w:rPr>
              <w:t>Параллельные круглые столы</w:t>
            </w:r>
            <w:r w:rsidRPr="00793BBC">
              <w:rPr>
                <w:rFonts w:ascii="Times New Roman" w:eastAsia="MS ??" w:hAnsi="Times New Roman" w:cs="Times New Roman"/>
                <w:b/>
                <w:lang w:eastAsia="ru-RU"/>
              </w:rPr>
              <w:t xml:space="preserve"> (далее </w:t>
            </w:r>
            <w:r w:rsidR="00793BBC">
              <w:rPr>
                <w:rFonts w:ascii="Times New Roman" w:eastAsia="MS ??" w:hAnsi="Times New Roman" w:cs="Times New Roman"/>
                <w:b/>
                <w:lang w:eastAsia="ru-RU"/>
              </w:rPr>
              <w:t>—</w:t>
            </w:r>
            <w:r w:rsidR="00793BBC" w:rsidRPr="00793BBC">
              <w:rPr>
                <w:rFonts w:ascii="Times New Roman" w:eastAsia="MS ??" w:hAnsi="Times New Roman" w:cs="Times New Roman"/>
                <w:b/>
                <w:lang w:eastAsia="ru-RU"/>
              </w:rPr>
              <w:t xml:space="preserve"> </w:t>
            </w:r>
            <w:r w:rsidRPr="00793BBC">
              <w:rPr>
                <w:rFonts w:ascii="Times New Roman" w:eastAsia="MS ??" w:hAnsi="Times New Roman" w:cs="Times New Roman"/>
                <w:b/>
                <w:lang w:eastAsia="ru-RU"/>
              </w:rPr>
              <w:t>КС):</w:t>
            </w:r>
          </w:p>
        </w:tc>
      </w:tr>
      <w:tr w:rsidR="00A470B5" w:rsidRPr="00793BBC" w:rsidTr="00810550">
        <w:trPr>
          <w:trHeight w:val="68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pStyle w:val="af"/>
              <w:spacing w:before="120" w:after="0" w:line="240" w:lineRule="auto"/>
              <w:ind w:left="0"/>
              <w:jc w:val="both"/>
              <w:rPr>
                <w:rFonts w:ascii="Times New Roman" w:eastAsia="MS ??" w:hAnsi="Times New Roman" w:cs="Times New Roman"/>
                <w:b/>
                <w:lang w:eastAsia="ru-RU"/>
              </w:rPr>
            </w:pPr>
            <w:r w:rsidRPr="00793BBC">
              <w:rPr>
                <w:rFonts w:ascii="Times New Roman" w:eastAsia="MS ??" w:hAnsi="Times New Roman" w:cs="Times New Roman"/>
                <w:lang w:eastAsia="ru-RU"/>
              </w:rPr>
              <w:t>КС 1.1:</w:t>
            </w:r>
            <w:r w:rsidR="0013337A" w:rsidRPr="00793BBC">
              <w:rPr>
                <w:rFonts w:ascii="Times New Roman" w:eastAsia="MS ??" w:hAnsi="Times New Roman" w:cs="Times New Roman"/>
                <w:lang w:eastAsia="ru-RU"/>
              </w:rPr>
              <w:t xml:space="preserve"> </w:t>
            </w:r>
            <w:r w:rsidRPr="00793BBC">
              <w:rPr>
                <w:rFonts w:ascii="Times New Roman" w:eastAsia="MS ??" w:hAnsi="Times New Roman" w:cs="Times New Roman"/>
                <w:b/>
                <w:lang w:eastAsia="ru-RU"/>
              </w:rPr>
              <w:t>Условия деятельности банков: международные стандарты и российская специфика</w:t>
            </w:r>
          </w:p>
          <w:p w:rsidR="00385A4B" w:rsidRPr="00793BBC" w:rsidRDefault="00385A4B" w:rsidP="00385A4B">
            <w:pPr>
              <w:pStyle w:val="af"/>
              <w:spacing w:before="120" w:after="120" w:line="240" w:lineRule="auto"/>
              <w:ind w:left="0"/>
              <w:jc w:val="both"/>
              <w:rPr>
                <w:rFonts w:ascii="Times New Roman" w:eastAsia="MS ??" w:hAnsi="Times New Roman" w:cs="Times New Roman"/>
                <w:b/>
                <w:lang w:eastAsia="ru-RU"/>
              </w:rPr>
            </w:pPr>
          </w:p>
          <w:p w:rsidR="00A470B5" w:rsidRPr="00793BBC" w:rsidRDefault="00A470B5" w:rsidP="00EC54D8">
            <w:pPr>
              <w:pStyle w:val="af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BBC">
              <w:rPr>
                <w:rFonts w:ascii="Times New Roman" w:hAnsi="Times New Roman" w:cs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 w:cs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 w:cs="Times New Roman"/>
                <w:i/>
              </w:rPr>
              <w:t xml:space="preserve"> круглого стола предполагается обсудить последние глобальные изменения в сфере регулирования банковского сектора, нацеленные на снижение системных рисков и на поддержание системной устойчивости</w:t>
            </w:r>
            <w:r w:rsidR="00793BBC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470B5" w:rsidRPr="00793BBC" w:rsidTr="00810550">
        <w:trPr>
          <w:trHeight w:val="1125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5E003D">
            <w:pPr>
              <w:pStyle w:val="af0"/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</w:pPr>
            <w:r w:rsidRPr="00793BBC">
              <w:rPr>
                <w:rFonts w:ascii="Times New Roman" w:eastAsia="Calibri" w:hAnsi="Times New Roman" w:cs="Times New Roman"/>
                <w:sz w:val="22"/>
                <w:szCs w:val="22"/>
                <w:lang w:val="ru-RU" w:eastAsia="en-US"/>
              </w:rPr>
              <w:t>КС 1.2:</w:t>
            </w:r>
            <w:r w:rsidRPr="00793BBC"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 w:eastAsia="en-US"/>
              </w:rPr>
              <w:t xml:space="preserve"> Система инструментов денежно-кредитной политики Банка России</w:t>
            </w:r>
          </w:p>
          <w:p w:rsidR="00A470B5" w:rsidRPr="00793BBC" w:rsidRDefault="00A470B5" w:rsidP="00EC54D8">
            <w:pPr>
              <w:pStyle w:val="af"/>
              <w:spacing w:after="120"/>
              <w:ind w:left="0"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Проведение операций Банка России в условиях снижения структурного дефицита ликвидности банковского сектора. Почему ситуация с ликвидностью меняется, как это может повлиять на применение инструментов Банка России?</w:t>
            </w:r>
          </w:p>
          <w:p w:rsidR="00A470B5" w:rsidRPr="00793BBC" w:rsidRDefault="00A470B5" w:rsidP="00EC54D8">
            <w:pPr>
              <w:pStyle w:val="af"/>
              <w:ind w:left="0"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Актуальные проблемы кредитных организаций при обращении к инструментам денежно-кредитной политики Банка</w:t>
            </w:r>
            <w:r w:rsidR="002D3212" w:rsidRPr="00793BBC">
              <w:rPr>
                <w:rFonts w:ascii="Times New Roman" w:hAnsi="Times New Roman"/>
                <w:i/>
              </w:rPr>
              <w:t xml:space="preserve"> </w:t>
            </w:r>
            <w:r w:rsidRPr="00793BBC">
              <w:rPr>
                <w:rFonts w:ascii="Times New Roman" w:hAnsi="Times New Roman"/>
                <w:i/>
              </w:rPr>
              <w:t>России. Совершенствование процедур и технологий проведения операций. Изменение модели управления банками собственной ликвидностью при снижении структурного дефицита ликвидности.</w:t>
            </w:r>
          </w:p>
          <w:p w:rsidR="00A470B5" w:rsidRPr="00793BBC" w:rsidRDefault="00A470B5" w:rsidP="00EC54D8">
            <w:pPr>
              <w:pStyle w:val="af"/>
              <w:ind w:left="0" w:firstLine="34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>Обязательные резервы кредитных организаций: актуальные задачи применения, оценка изменений механизма в 2016 году.</w:t>
            </w:r>
          </w:p>
          <w:p w:rsidR="00A470B5" w:rsidRPr="00793BBC" w:rsidRDefault="00A470B5" w:rsidP="00EC54D8">
            <w:pPr>
              <w:pStyle w:val="af"/>
              <w:spacing w:before="120" w:after="120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3BBC">
              <w:rPr>
                <w:rFonts w:ascii="Times New Roman" w:hAnsi="Times New Roman"/>
                <w:i/>
              </w:rPr>
              <w:lastRenderedPageBreak/>
              <w:t>Предполагается на основе выступлений представителей Банка России по вопросам, поднимаемым за круглым столом, организовать дискуссию с участием представителей руководства кредитных организаций.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5E003D">
            <w:pPr>
              <w:keepNext/>
              <w:spacing w:before="120" w:after="12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93BBC">
              <w:rPr>
                <w:rFonts w:ascii="Times New Roman" w:eastAsia="Calibri" w:hAnsi="Times New Roman"/>
                <w:bCs/>
              </w:rPr>
              <w:t>КС 1.3:</w:t>
            </w:r>
            <w:r w:rsidR="005E003D" w:rsidRPr="00793BB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793BBC">
              <w:rPr>
                <w:rFonts w:ascii="Times New Roman" w:eastAsia="Calibri" w:hAnsi="Times New Roman"/>
                <w:b/>
                <w:bCs/>
              </w:rPr>
              <w:t>Совершенствование требований к деловой репутации и квалификации</w:t>
            </w:r>
          </w:p>
          <w:p w:rsidR="00A470B5" w:rsidRPr="00793BBC" w:rsidRDefault="00A470B5" w:rsidP="005E003D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Предлагается обсудить подход к определению критериев оценки деловой репутации, квалификации и финансового положения учредителей (участников), органов управления и должностных лиц финансовых организаций в целях недопущения недобросовестной коммерческой практики и обеспечения надлежащей устойчивости развития и деятельности финансового рынка.</w:t>
            </w:r>
          </w:p>
          <w:p w:rsidR="00A470B5" w:rsidRPr="00793BBC" w:rsidRDefault="00A470B5" w:rsidP="005E003D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На КС будут затрагиваться вопросы обеспечения устойчивого развития финансового рынка Российской Федерации, эффективное управление рисками, возникающими на финансовых рынках, в том числе оперативное выявление и противодействие кризисным ситуациям, защита прав и законных интересов инвесторов на финансовых рынках.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5E003D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sz w:val="24"/>
                <w:szCs w:val="24"/>
              </w:rPr>
              <w:t>КС</w:t>
            </w:r>
            <w:r w:rsidRPr="00793BBC">
              <w:rPr>
                <w:rFonts w:ascii="Times New Roman" w:hAnsi="Times New Roman"/>
              </w:rPr>
              <w:t xml:space="preserve"> 1.4: </w:t>
            </w:r>
            <w:r w:rsidRPr="00793BBC">
              <w:rPr>
                <w:rFonts w:ascii="Times New Roman" w:hAnsi="Times New Roman"/>
                <w:b/>
              </w:rPr>
              <w:t>Будущее НПФ</w:t>
            </w:r>
          </w:p>
          <w:p w:rsidR="00A470B5" w:rsidRPr="00793BBC" w:rsidRDefault="00A470B5" w:rsidP="005E003D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В последние годы в системе управления пенсионными накоплениями в России произошли существенные положительные изменения, включая повышение прозрачности функционирования отрасли и введение системы гарантирования. Несмотря на достигнутый прогресс, отрасль в настоящее время столкнулась с проблемой ограниченности источников фондирования. Практика показала, что в периоды бюджетных сложностей система обязательного пенсионного страхования не может выполнять роль надежного и предсказуемого источника сре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дств дл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я долгосрочного инвестирования в экономику. В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случае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консервации ситуации в нынешнем виде и отсутствия притока средств дальнейшее развитие института НПФ в России может оказаться затруднительным. </w:t>
            </w:r>
          </w:p>
          <w:p w:rsidR="00A470B5" w:rsidRPr="00793BBC" w:rsidRDefault="00A470B5" w:rsidP="005E003D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В ходе КС предполагается обсудить возможные варианты выхода из сложившейся ситуации, которые позволили бы придать импульс развитию отрасли, повышению конкуренции, снижению коми</w:t>
            </w:r>
            <w:r w:rsidR="005E003D" w:rsidRPr="00793BBC">
              <w:rPr>
                <w:rFonts w:ascii="Times New Roman" w:hAnsi="Times New Roman"/>
                <w:i/>
                <w:color w:val="000000"/>
              </w:rPr>
              <w:t>ссий и утверждению международно</w:t>
            </w:r>
            <w:r w:rsidR="00DA1283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93BBC">
              <w:rPr>
                <w:rFonts w:ascii="Times New Roman" w:hAnsi="Times New Roman"/>
                <w:i/>
                <w:color w:val="000000"/>
              </w:rPr>
              <w:t>признанных лучших стандартов и практик управления пенсионными средствами.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7E3E2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>КС 1.5:</w:t>
            </w:r>
            <w:r w:rsidR="005E003D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Актуальные вопросы защиты прав потребителей финансовых услуг и инвесторов</w:t>
            </w:r>
          </w:p>
          <w:p w:rsidR="00A470B5" w:rsidRPr="00793BBC" w:rsidRDefault="00A470B5" w:rsidP="005E003D">
            <w:pPr>
              <w:spacing w:before="120"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Обеспечение защиты прав потребителей финансовых услуг и инвесторов </w:t>
            </w:r>
            <w:r w:rsidR="00793BBC">
              <w:rPr>
                <w:rFonts w:ascii="Times New Roman" w:hAnsi="Times New Roman"/>
                <w:i/>
                <w:color w:val="000000"/>
              </w:rPr>
              <w:t>—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одно из важнейших условий успешного функционирования и развития финансового рынка. </w:t>
            </w:r>
          </w:p>
          <w:p w:rsidR="00A470B5" w:rsidRPr="00793BBC" w:rsidRDefault="00A470B5" w:rsidP="005E003D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Для решения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вопросов эффективной защиты прав потребителей финансовых услуг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необходимо создать комплексную систему, состоящую из помощи потребителям финансовых услуг и оценки необходимости и внесении изменений в действующую систему регулирования. Данная система должна совершенствоваться на постоянной основе.</w:t>
            </w:r>
          </w:p>
          <w:p w:rsidR="00A470B5" w:rsidRPr="00793BBC" w:rsidRDefault="00A470B5" w:rsidP="005E003D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Кроме того, для повышения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уровня защиты прав потребителей финансовых услуг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необходимо постоянное взаимодействие органов по защите прав </w:t>
            </w:r>
            <w:r w:rsidRPr="00793BBC">
              <w:rPr>
                <w:rFonts w:ascii="Times New Roman" w:hAnsi="Times New Roman"/>
                <w:i/>
                <w:color w:val="000000"/>
              </w:rPr>
              <w:lastRenderedPageBreak/>
              <w:t>потребителей при осуществлении надзорных мероприятий, а также единый подход к применяемым мерам воздействия.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5E003D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5E003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  <w:bCs/>
                <w:iCs/>
              </w:rPr>
              <w:t>КС 1.6:</w:t>
            </w:r>
            <w:r w:rsidR="005E003D" w:rsidRPr="00793BBC">
              <w:rPr>
                <w:rFonts w:ascii="Times New Roman" w:hAnsi="Times New Roman"/>
                <w:bCs/>
                <w:iCs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Совершенствование регулирования страхового рынка</w:t>
            </w:r>
          </w:p>
          <w:p w:rsidR="00A470B5" w:rsidRPr="00793BBC" w:rsidRDefault="00A470B5" w:rsidP="007E3E29">
            <w:pPr>
              <w:spacing w:after="0"/>
              <w:ind w:firstLine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КС предполагается обсудить основные направления развития страхового рынка и необходимые для их реализации изменения в страховое законодательство. </w:t>
            </w:r>
          </w:p>
          <w:p w:rsidR="00A470B5" w:rsidRPr="00793BBC" w:rsidRDefault="00A470B5" w:rsidP="007E3E29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В частности, планируется обсудить пути развития страхования жизни, формирование национальной перестраховочной емкости, развитие страхования жилых помещений, изменение процедуры входа на страховой рынок, подходы к регулированию финансовой устойчивости и платежеспособности страховщиков, совершенствование оснований для осуществления мер по предупреждению банкротства и уточнение их перечня, внедрение механизмов санации страховщиков за счет средств инвесторов и АСВ, стандартизацию страховых услуг, регулирование социально значимых видов страхования.</w:t>
            </w:r>
            <w:proofErr w:type="gramEnd"/>
          </w:p>
          <w:p w:rsidR="00A470B5" w:rsidRPr="00793BBC" w:rsidRDefault="00A470B5" w:rsidP="007E3E29">
            <w:pPr>
              <w:spacing w:after="120"/>
              <w:ind w:firstLine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Банк России активно способствует внедрению электронного документооборота в сфере страхования (создание правовых основ использования коробочных продуктов, их стандартизация, стимулирование роста доли продаж страховых услуг через информационно-телекоммуникационную сеть «Интернет» и </w:t>
            </w:r>
            <w:proofErr w:type="spellStart"/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колл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>-центры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), в том числе с целью снижения издержек в страховой отрасли и повышения доступности страховых услуг. Так, возможность заключения договоров страхования в виде электронных документов обеспечена в самом массовом виде розничного страхования </w:t>
            </w:r>
            <w:r w:rsidR="00793BBC">
              <w:rPr>
                <w:rFonts w:ascii="Times New Roman" w:hAnsi="Times New Roman"/>
                <w:i/>
                <w:color w:val="000000"/>
              </w:rPr>
              <w:t>—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ОСАГО. Дальнейшее внедрение электронного взаимодействия в сфере страхования связано с решением проблем дистанционной оценки принимаемых на страхование рисков, а также объективной оценки и подтверждения обстоятель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ств стр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ахового случая.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Учитывая необходимость обеспечения доступности страхования при сохранении финансовой устойчивости страховщиков предлагаем проведение дискуссии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>, в ходе которой будут обсуждены возможные пути решения проблем электронного страхования в России.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7E3E2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7E3E29">
            <w:pPr>
              <w:spacing w:before="120" w:after="0"/>
              <w:rPr>
                <w:rFonts w:ascii="Times New Roman" w:hAnsi="Times New Roman"/>
                <w:b/>
                <w:bCs/>
                <w:iCs/>
              </w:rPr>
            </w:pPr>
            <w:r w:rsidRPr="00793BBC">
              <w:rPr>
                <w:rFonts w:ascii="Times New Roman" w:hAnsi="Times New Roman"/>
                <w:bCs/>
                <w:iCs/>
              </w:rPr>
              <w:t xml:space="preserve">КС 1.7: </w:t>
            </w:r>
            <w:r w:rsidRPr="00793BBC">
              <w:rPr>
                <w:rFonts w:ascii="Times New Roman" w:hAnsi="Times New Roman"/>
                <w:b/>
                <w:bCs/>
                <w:iCs/>
              </w:rPr>
              <w:t>Информационные технологии на финансовых рынках. Новая глава</w:t>
            </w:r>
          </w:p>
          <w:p w:rsidR="00A470B5" w:rsidRPr="00793BBC" w:rsidRDefault="00A470B5" w:rsidP="007E3E29">
            <w:pPr>
              <w:spacing w:before="120"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Развитие технологий электронного взаимодействия на финансовых рынках после перехода соответствующего регулирования в Банк России является одним из приоритетных направлений его деятельности в данной сфере. С целью снижения издержек и повышения доступности услуг НФО Банк России проводит работы по внедрению электронного документооборота во всех секторах финансового рынка. Развитие электронного взаимодействия при предоставлении услуг НФО также связано с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дигитализацией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процедур заключения договоров, осуществления прав и исполнения обязательств по ним, что особенно актуально в сфере страхования.</w:t>
            </w:r>
          </w:p>
          <w:p w:rsidR="00A470B5" w:rsidRPr="00793BBC" w:rsidRDefault="00A470B5" w:rsidP="00170C0D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В рамках КС предлагается обсудить степень интеграции современных информационных технологий в работу участников финансовых рынков, определить наиболее востребованные их виды, сферы применения, наметить векторы их развития и внедрения.</w:t>
            </w:r>
            <w:proofErr w:type="gramEnd"/>
          </w:p>
          <w:p w:rsidR="00A470B5" w:rsidRPr="00793BBC" w:rsidRDefault="00A470B5" w:rsidP="007E3E29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Отдельное внимание в дискуссиях планируется уделить вопросам роли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lastRenderedPageBreak/>
              <w:t>мегарегулятора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в следующих направлениях:</w:t>
            </w:r>
          </w:p>
          <w:p w:rsidR="00A470B5" w:rsidRPr="00E07CDF" w:rsidRDefault="00A470B5" w:rsidP="00810550">
            <w:pPr>
              <w:pStyle w:val="af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E07CDF">
              <w:rPr>
                <w:rFonts w:ascii="Times New Roman" w:hAnsi="Times New Roman"/>
                <w:bCs/>
                <w:i/>
                <w:iCs/>
              </w:rPr>
              <w:t>развитие электронного взаимодействия на финансовых рынках;</w:t>
            </w:r>
          </w:p>
          <w:p w:rsidR="00A470B5" w:rsidRPr="00E07CDF" w:rsidRDefault="00A470B5" w:rsidP="00810550">
            <w:pPr>
              <w:pStyle w:val="af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</w:rPr>
            </w:pPr>
            <w:proofErr w:type="spellStart"/>
            <w:r w:rsidRPr="00E07CDF">
              <w:rPr>
                <w:rFonts w:ascii="Times New Roman" w:hAnsi="Times New Roman"/>
                <w:bCs/>
                <w:i/>
                <w:iCs/>
              </w:rPr>
              <w:t>Fintech</w:t>
            </w:r>
            <w:proofErr w:type="spellEnd"/>
            <w:r w:rsidRPr="00E07CDF">
              <w:rPr>
                <w:rFonts w:ascii="Times New Roman" w:hAnsi="Times New Roman"/>
                <w:bCs/>
                <w:i/>
                <w:iCs/>
              </w:rPr>
              <w:t>-инновации, их поддержка и внедрение;</w:t>
            </w:r>
          </w:p>
          <w:p w:rsidR="00A470B5" w:rsidRPr="00E07CDF" w:rsidRDefault="00A470B5" w:rsidP="00810550">
            <w:pPr>
              <w:pStyle w:val="af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E07CDF">
              <w:rPr>
                <w:rFonts w:ascii="Times New Roman" w:hAnsi="Times New Roman"/>
                <w:bCs/>
                <w:i/>
                <w:iCs/>
              </w:rPr>
              <w:t>разработка проекта базовой таксономии XBRL и перспективы ее использования;</w:t>
            </w:r>
          </w:p>
          <w:p w:rsidR="00A470B5" w:rsidRPr="00E07CDF" w:rsidRDefault="00A470B5" w:rsidP="00810550">
            <w:pPr>
              <w:pStyle w:val="af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E07CDF">
              <w:rPr>
                <w:rFonts w:ascii="Times New Roman" w:hAnsi="Times New Roman"/>
                <w:bCs/>
                <w:i/>
                <w:iCs/>
              </w:rPr>
              <w:t>идентификация физических и юридических лиц в финансовом секторе;</w:t>
            </w:r>
          </w:p>
          <w:p w:rsidR="00A470B5" w:rsidRPr="00793BBC" w:rsidRDefault="00A470B5" w:rsidP="00810550">
            <w:pPr>
              <w:pStyle w:val="af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7CDF">
              <w:rPr>
                <w:rFonts w:ascii="Times New Roman" w:hAnsi="Times New Roman"/>
                <w:bCs/>
                <w:i/>
                <w:iCs/>
              </w:rPr>
              <w:t>обеспечение доступности страховых услуг в электронном виде при сохранении финансовой устойчивости страховщиков.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  <w:tcBorders>
              <w:top w:val="nil"/>
            </w:tcBorders>
          </w:tcPr>
          <w:p w:rsidR="00A470B5" w:rsidRPr="00793BBC" w:rsidRDefault="00A470B5" w:rsidP="007E3E29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7E3E29">
            <w:pPr>
              <w:spacing w:before="120" w:after="120"/>
              <w:ind w:left="33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>КС 1.8:</w:t>
            </w:r>
            <w:r w:rsidR="007E3E29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Стратегия развития наличного денежного обращения. Видение регулятора и рынка</w:t>
            </w:r>
          </w:p>
          <w:p w:rsidR="00A470B5" w:rsidRPr="00793BBC" w:rsidRDefault="00A470B5" w:rsidP="007E3E29">
            <w:pPr>
              <w:spacing w:after="120"/>
              <w:ind w:left="33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круглого стола планируется обсудить стратегические подходы к развитию наличного денежного обращения в России и за рубежом. Предполагается также дискуссия о практических решениях в индустрии денежной наличности с учетом научно-технического прогресса. Участники круглого стола поделятся своей позицией по повышению эффективности и безопасности в сфере наличного денежного обращения.</w:t>
            </w:r>
          </w:p>
        </w:tc>
      </w:tr>
      <w:tr w:rsidR="00A470B5" w:rsidRPr="00793BBC" w:rsidTr="00810550">
        <w:trPr>
          <w:trHeight w:val="427"/>
        </w:trPr>
        <w:tc>
          <w:tcPr>
            <w:tcW w:w="1951" w:type="dxa"/>
          </w:tcPr>
          <w:p w:rsidR="00A470B5" w:rsidRPr="00793BBC" w:rsidRDefault="00A470B5" w:rsidP="007E3E2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19:00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23:00</w:t>
            </w:r>
          </w:p>
        </w:tc>
        <w:tc>
          <w:tcPr>
            <w:tcW w:w="7620" w:type="dxa"/>
          </w:tcPr>
          <w:p w:rsidR="00A470B5" w:rsidRPr="00793BBC" w:rsidRDefault="00A470B5" w:rsidP="007E3E29">
            <w:p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b/>
              </w:rPr>
              <w:t xml:space="preserve">Прием от имени Банка России </w:t>
            </w:r>
            <w:r w:rsidRPr="00793BBC">
              <w:rPr>
                <w:rFonts w:ascii="Times New Roman" w:hAnsi="Times New Roman"/>
                <w:i/>
              </w:rPr>
              <w:t>(по приглашениям)</w:t>
            </w:r>
          </w:p>
          <w:p w:rsidR="00EA4C6C" w:rsidRPr="007A6950" w:rsidRDefault="00EA4C6C" w:rsidP="007E3E2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  <w:p w:rsidR="00E07CDF" w:rsidRPr="007A6950" w:rsidRDefault="00E07CDF" w:rsidP="007E3E2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70B5" w:rsidRPr="00793BBC" w:rsidTr="00810550">
        <w:trPr>
          <w:trHeight w:val="330"/>
        </w:trPr>
        <w:tc>
          <w:tcPr>
            <w:tcW w:w="1951" w:type="dxa"/>
            <w:shd w:val="clear" w:color="auto" w:fill="D9D9D9"/>
          </w:tcPr>
          <w:p w:rsidR="00A470B5" w:rsidRPr="00793BBC" w:rsidRDefault="00A470B5" w:rsidP="007E3E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 июля 2016 г.</w:t>
            </w:r>
          </w:p>
          <w:p w:rsidR="00A470B5" w:rsidRPr="00793BBC" w:rsidRDefault="00A470B5" w:rsidP="007E3E2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620" w:type="dxa"/>
            <w:shd w:val="clear" w:color="auto" w:fill="D9D9D9"/>
          </w:tcPr>
          <w:p w:rsidR="00A470B5" w:rsidRPr="00793BBC" w:rsidRDefault="009A6CA4" w:rsidP="007E3E2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 xml:space="preserve">День второй: </w:t>
            </w:r>
            <w:r w:rsidR="00A470B5" w:rsidRPr="00793BBC">
              <w:rPr>
                <w:rFonts w:ascii="Times New Roman" w:hAnsi="Times New Roman"/>
                <w:b/>
              </w:rPr>
              <w:t>XXV Международный финансовый конгресс</w:t>
            </w:r>
          </w:p>
          <w:p w:rsidR="00A470B5" w:rsidRPr="00793BBC" w:rsidRDefault="004A4F63" w:rsidP="00D4782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Конгресс</w:t>
            </w:r>
            <w:r w:rsidR="00D47821">
              <w:rPr>
                <w:rFonts w:ascii="Times New Roman" w:hAnsi="Times New Roman"/>
                <w:b/>
              </w:rPr>
              <w:t>но</w:t>
            </w:r>
            <w:r w:rsidRPr="00793BBC">
              <w:rPr>
                <w:rFonts w:ascii="Times New Roman" w:hAnsi="Times New Roman"/>
                <w:b/>
              </w:rPr>
              <w:t>-</w:t>
            </w:r>
            <w:r w:rsidR="00D47821">
              <w:rPr>
                <w:rFonts w:ascii="Times New Roman" w:hAnsi="Times New Roman"/>
                <w:b/>
              </w:rPr>
              <w:t xml:space="preserve">выставочный </w:t>
            </w:r>
            <w:r w:rsidRPr="00793BBC">
              <w:rPr>
                <w:rFonts w:ascii="Times New Roman" w:hAnsi="Times New Roman"/>
                <w:b/>
              </w:rPr>
              <w:t xml:space="preserve">центр </w:t>
            </w:r>
            <w:r w:rsidR="009A6CA4" w:rsidRPr="00793BBC">
              <w:rPr>
                <w:rFonts w:ascii="Times New Roman" w:hAnsi="Times New Roman"/>
                <w:b/>
              </w:rPr>
              <w:t>«</w:t>
            </w:r>
            <w:proofErr w:type="spellStart"/>
            <w:r w:rsidR="009A6CA4" w:rsidRPr="00793BBC">
              <w:rPr>
                <w:rFonts w:ascii="Times New Roman" w:hAnsi="Times New Roman"/>
                <w:b/>
              </w:rPr>
              <w:t>Экспофорум</w:t>
            </w:r>
            <w:proofErr w:type="spellEnd"/>
            <w:r w:rsidR="009A6CA4" w:rsidRPr="00793BBC">
              <w:rPr>
                <w:rFonts w:ascii="Times New Roman" w:hAnsi="Times New Roman"/>
                <w:b/>
              </w:rPr>
              <w:t>», Санкт-Петербург</w:t>
            </w:r>
          </w:p>
        </w:tc>
      </w:tr>
      <w:tr w:rsidR="00A470B5" w:rsidRPr="00793BBC" w:rsidTr="00810550">
        <w:trPr>
          <w:trHeight w:val="980"/>
        </w:trPr>
        <w:tc>
          <w:tcPr>
            <w:tcW w:w="1951" w:type="dxa"/>
          </w:tcPr>
          <w:p w:rsidR="00A470B5" w:rsidRPr="00793BBC" w:rsidRDefault="00A470B5" w:rsidP="007E3E29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09:00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10:30</w:t>
            </w:r>
          </w:p>
          <w:p w:rsidR="00A470B5" w:rsidRPr="00793BBC" w:rsidRDefault="00A470B5" w:rsidP="0081055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7E3E29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4</w:t>
            </w:r>
            <w:r w:rsidRPr="00793BBC">
              <w:rPr>
                <w:rFonts w:ascii="Times New Roman" w:hAnsi="Times New Roman"/>
              </w:rPr>
              <w:t xml:space="preserve">: </w:t>
            </w:r>
            <w:r w:rsidRPr="00793BBC">
              <w:rPr>
                <w:rFonts w:ascii="Times New Roman" w:hAnsi="Times New Roman"/>
                <w:b/>
              </w:rPr>
              <w:t>Основные направления развития финансовых рынков Российской Федерации</w:t>
            </w:r>
          </w:p>
          <w:p w:rsidR="00A470B5" w:rsidRPr="00793BBC" w:rsidRDefault="00A470B5" w:rsidP="007E3E29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В 2016 году Банк России впервые разработал документ, который носит </w:t>
            </w:r>
            <w:proofErr w:type="gramStart"/>
            <w:r w:rsidRPr="00793BBC">
              <w:rPr>
                <w:rFonts w:ascii="Times New Roman" w:hAnsi="Times New Roman"/>
                <w:i/>
              </w:rPr>
              <w:t>кросс-секторальный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характер и учитывает вектор развития российского финансового рынка, заданный его действующими характеристиками и международными тенденциями</w:t>
            </w:r>
            <w:r w:rsidR="004A4F63" w:rsidRPr="00793BBC">
              <w:rPr>
                <w:rFonts w:ascii="Times New Roman" w:hAnsi="Times New Roman"/>
                <w:i/>
              </w:rPr>
              <w:t>. Основные направления развития</w:t>
            </w:r>
            <w:r w:rsidRPr="00793BBC">
              <w:rPr>
                <w:rFonts w:ascii="Times New Roman" w:hAnsi="Times New Roman"/>
                <w:i/>
              </w:rPr>
              <w:t xml:space="preserve"> являются стратегическим планом действий Банка России на всех сегментах финансового рынка в ближайшие три года. Его публикация будет способствовать дальнейшему повышению понятности и предсказуемости действий регулятора для участников финансового рынка.</w:t>
            </w:r>
          </w:p>
          <w:p w:rsidR="00A470B5" w:rsidRPr="00793BBC" w:rsidRDefault="00A470B5" w:rsidP="007E3E29">
            <w:pPr>
              <w:spacing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 xml:space="preserve">Ключевой выступающий: </w:t>
            </w:r>
            <w:r w:rsidRPr="00793BBC">
              <w:rPr>
                <w:rFonts w:ascii="Times New Roman" w:hAnsi="Times New Roman"/>
                <w:b/>
              </w:rPr>
              <w:t xml:space="preserve">Эльвира </w:t>
            </w:r>
            <w:proofErr w:type="spellStart"/>
            <w:r w:rsidRPr="00793BBC">
              <w:rPr>
                <w:rFonts w:ascii="Times New Roman" w:hAnsi="Times New Roman"/>
                <w:b/>
              </w:rPr>
              <w:t>Набиуллина</w:t>
            </w:r>
            <w:proofErr w:type="spellEnd"/>
            <w:r w:rsidRPr="00793BBC">
              <w:rPr>
                <w:rFonts w:ascii="Times New Roman" w:hAnsi="Times New Roman"/>
              </w:rPr>
              <w:t xml:space="preserve">, Председатель Центрального банка Российской Федерации 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10:30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11:00</w:t>
            </w: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Кофе-брейк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11:00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12:30</w:t>
            </w:r>
          </w:p>
          <w:p w:rsidR="00A470B5" w:rsidRPr="00793BBC" w:rsidRDefault="00A470B5" w:rsidP="00810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5</w:t>
            </w:r>
            <w:r w:rsidRPr="00793BBC">
              <w:rPr>
                <w:rFonts w:ascii="Times New Roman" w:hAnsi="Times New Roman"/>
              </w:rPr>
              <w:t>:</w:t>
            </w:r>
            <w:r w:rsidR="00385A4B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 xml:space="preserve">Платежный </w:t>
            </w:r>
            <w:proofErr w:type="spellStart"/>
            <w:r w:rsidRPr="00793BBC">
              <w:rPr>
                <w:rFonts w:ascii="Times New Roman" w:hAnsi="Times New Roman"/>
                <w:b/>
              </w:rPr>
              <w:t>мейнстрим</w:t>
            </w:r>
            <w:proofErr w:type="spellEnd"/>
            <w:r w:rsidRPr="00793BBC">
              <w:rPr>
                <w:rFonts w:ascii="Times New Roman" w:hAnsi="Times New Roman"/>
                <w:b/>
              </w:rPr>
              <w:t>. Видение рынка и регулятора</w:t>
            </w:r>
          </w:p>
          <w:p w:rsidR="00A470B5" w:rsidRPr="00793BBC" w:rsidRDefault="00A470B5" w:rsidP="004A4F63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</w:t>
            </w:r>
            <w:r w:rsidR="004A4F63" w:rsidRPr="00793BBC">
              <w:rPr>
                <w:rFonts w:ascii="Times New Roman" w:hAnsi="Times New Roman"/>
                <w:i/>
              </w:rPr>
              <w:t>пленарного заседания</w:t>
            </w:r>
            <w:r w:rsidRPr="00793BBC">
              <w:rPr>
                <w:rFonts w:ascii="Times New Roman" w:hAnsi="Times New Roman"/>
                <w:i/>
              </w:rPr>
              <w:t xml:space="preserve"> планируется обсудить мировые тренды развития индустрии наличных и безналичных платежей, а также роль регулятора и профессиональных участников рынка платежных услуг в этих процессах. Учитывая, что рынок платежных услуг является весьма инновационным и быстро растущим, будут затрагиваться вопросы оценки и минимизации возникающих рисков с целью повышения привлекательности платежных услуг для населения и хозяйствующих субъектов. </w:t>
            </w:r>
            <w:r w:rsidRPr="00793BBC">
              <w:rPr>
                <w:rFonts w:ascii="Times New Roman" w:hAnsi="Times New Roman"/>
                <w:i/>
              </w:rPr>
              <w:lastRenderedPageBreak/>
              <w:t xml:space="preserve">Предполагается дискуссия с участием </w:t>
            </w:r>
            <w:proofErr w:type="gramStart"/>
            <w:r w:rsidRPr="00793BBC">
              <w:rPr>
                <w:rFonts w:ascii="Times New Roman" w:hAnsi="Times New Roman"/>
                <w:i/>
              </w:rPr>
              <w:t>представителей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как регулятора, так и рынка о подходах к повышению безопасности и эффективности платежной индустрии.</w:t>
            </w:r>
            <w:r w:rsidRPr="00793BB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bottom w:val="single" w:sz="4" w:space="0" w:color="auto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lastRenderedPageBreak/>
              <w:t>12:30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13:30</w:t>
            </w: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Обед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bottom w:val="nil"/>
            </w:tcBorders>
          </w:tcPr>
          <w:p w:rsidR="00A470B5" w:rsidRPr="00793BBC" w:rsidRDefault="00A470B5" w:rsidP="00385A4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13:30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  <w:u w:val="single"/>
              </w:rPr>
            </w:pPr>
            <w:r w:rsidRPr="00793BBC">
              <w:rPr>
                <w:rFonts w:ascii="Times New Roman" w:hAnsi="Times New Roman"/>
                <w:b/>
                <w:u w:val="single"/>
              </w:rPr>
              <w:t>Параллельные КС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>КС 2.1:</w:t>
            </w:r>
            <w:r w:rsidR="00385A4B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Управление рисками: уровни, инструменты, техника, процедуры, спорные аспекты</w:t>
            </w:r>
          </w:p>
          <w:p w:rsidR="00A470B5" w:rsidRPr="00793BBC" w:rsidRDefault="00A470B5" w:rsidP="00385A4B">
            <w:pPr>
              <w:spacing w:after="120"/>
              <w:ind w:left="33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круглого стола предполагается обсудить задачи по развитию банковского надзора и вызовы, которые стоят перед банками в различных странах в связи с ростом регулятивной нагрузки</w:t>
            </w:r>
            <w:r w:rsidR="00D47821">
              <w:rPr>
                <w:rFonts w:ascii="Times New Roman" w:hAnsi="Times New Roman"/>
                <w:i/>
              </w:rPr>
              <w:t>.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793BBC">
              <w:rPr>
                <w:rFonts w:ascii="Times New Roman" w:hAnsi="Times New Roman"/>
                <w:bCs/>
              </w:rPr>
              <w:t xml:space="preserve">КС </w:t>
            </w:r>
            <w:r w:rsidRPr="00793BBC">
              <w:rPr>
                <w:rFonts w:ascii="Times New Roman" w:eastAsia="Calibri" w:hAnsi="Times New Roman"/>
              </w:rPr>
              <w:t>2.2:</w:t>
            </w:r>
            <w:r w:rsidRPr="00793BBC">
              <w:rPr>
                <w:rFonts w:ascii="Times New Roman" w:eastAsia="Calibri" w:hAnsi="Times New Roman"/>
                <w:i/>
              </w:rPr>
              <w:t xml:space="preserve"> </w:t>
            </w:r>
            <w:r w:rsidRPr="00793BBC">
              <w:rPr>
                <w:rFonts w:ascii="Times New Roman" w:hAnsi="Times New Roman"/>
                <w:b/>
                <w:bCs/>
              </w:rPr>
              <w:t>Финансовые технологии и доступность финансовых услуг: вызовы и возможности для развития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Последние годы характеризуются бурным распространением инноваций в финансовой сфере, как технологического, так и институционального характера. Все это, без сомнения, повышает доступность финансовых услуг в интересах развития, но одновременно с этим усиливает важность сохранения фокуса финансовой системы на потребностях участников финансового рынка, в том числе в части дистанционных сервисов предоставления финансовых услуг. Повышение доступности финансовых услуг при сохранении стабильности финансовой системы </w:t>
            </w:r>
            <w:r w:rsidR="00E07CDF">
              <w:rPr>
                <w:rFonts w:ascii="Times New Roman" w:hAnsi="Times New Roman"/>
                <w:i/>
                <w:color w:val="000000"/>
              </w:rPr>
              <w:t>является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сегодня одн</w:t>
            </w:r>
            <w:r w:rsidR="00D47821">
              <w:rPr>
                <w:rFonts w:ascii="Times New Roman" w:hAnsi="Times New Roman"/>
                <w:i/>
                <w:color w:val="000000"/>
              </w:rPr>
              <w:t>ой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из центральных тем повестки дня как международных объединений (OECD, WB, CGAP, AFI), так и российских регуляторов и участников рынка.</w:t>
            </w:r>
          </w:p>
          <w:p w:rsidR="00A470B5" w:rsidRPr="00793BBC" w:rsidRDefault="00A470B5" w:rsidP="00385A4B">
            <w:pPr>
              <w:spacing w:after="120"/>
              <w:jc w:val="both"/>
              <w:rPr>
                <w:rFonts w:ascii="Times New Roman" w:hAnsi="Times New Roman"/>
                <w:bCs/>
                <w:iCs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Выход на финансовые рынки и бурный рост во всем мире новых видов инновационных альтернативных источников финансирования (например, краудфандинг во всех его проявлениях) также потребует дополнительных усилий со стороны регулятора. В современном мире растет объем операций, осуществляемых небанковскими кредитными посредниками и финансовыми институтами при помощи новых технологий. Такие финансовые учреждения способны при условии должного регулирования и контроля внести значительный вклад в повышение финансовой доступности, обеспечивая создание значимых источников фондирования для финансовых рынков и поддерживая рыночную ликвидность. Более того, они играют важную роль на незначительных по объемам или на специализированных рынках, где традиционный банковский сектор не стремится быть представленным или не может быть представлен в силу экономических ограничений</w:t>
            </w:r>
            <w:r w:rsidR="00D47821">
              <w:rPr>
                <w:rFonts w:ascii="Times New Roman" w:hAnsi="Times New Roman"/>
                <w:i/>
                <w:color w:val="000000"/>
              </w:rPr>
              <w:t>.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Cs/>
                <w:iCs/>
              </w:rPr>
              <w:t>КС 2.3</w:t>
            </w:r>
            <w:r w:rsidRPr="00793BBC">
              <w:rPr>
                <w:rFonts w:ascii="Times New Roman" w:hAnsi="Times New Roman"/>
              </w:rPr>
              <w:t>:</w:t>
            </w:r>
            <w:r w:rsidR="00385A4B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 xml:space="preserve">Комплаенс vs </w:t>
            </w:r>
            <w:r w:rsidR="00D47821">
              <w:rPr>
                <w:rFonts w:ascii="Times New Roman" w:hAnsi="Times New Roman"/>
                <w:b/>
              </w:rPr>
              <w:t>п</w:t>
            </w:r>
            <w:r w:rsidRPr="00793BBC">
              <w:rPr>
                <w:rFonts w:ascii="Times New Roman" w:hAnsi="Times New Roman"/>
                <w:b/>
              </w:rPr>
              <w:t>рофессиональные суждения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процессе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составления; предполагается участие руководителей комплаенс-контроля крупных участников рынка, руководителей СРО / руководителей комитетов СРО по комплаенсу, Биржи, </w:t>
            </w:r>
            <w:r w:rsidR="00D47821">
              <w:rPr>
                <w:rFonts w:ascii="Times New Roman" w:hAnsi="Times New Roman"/>
                <w:i/>
                <w:color w:val="000000"/>
              </w:rPr>
              <w:t>а также</w:t>
            </w:r>
            <w:r w:rsidR="00D47821" w:rsidRPr="00793BBC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93BBC">
              <w:rPr>
                <w:rFonts w:ascii="Times New Roman" w:hAnsi="Times New Roman"/>
                <w:i/>
                <w:color w:val="000000"/>
              </w:rPr>
              <w:t>профильных департаментов Банка России по направлениям (ДРФР/ДРЦБ/ДКИ), специалистов-консультантов, имеющих опыт внедрения международных комплаенс</w:t>
            </w:r>
            <w:r w:rsidR="00FD1BAA">
              <w:rPr>
                <w:rFonts w:ascii="Times New Roman" w:hAnsi="Times New Roman"/>
                <w:i/>
                <w:color w:val="000000"/>
              </w:rPr>
              <w:t>-</w:t>
            </w:r>
            <w:r w:rsidRPr="00793BBC">
              <w:rPr>
                <w:rFonts w:ascii="Times New Roman" w:hAnsi="Times New Roman"/>
                <w:i/>
                <w:color w:val="000000"/>
              </w:rPr>
              <w:t>стандартов.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Развитие и расширение рынка финансовых услуг ведет к необходимости совершенствования регулирования и надзора со стороны контролирующих </w:t>
            </w:r>
            <w:r w:rsidRPr="00793BBC">
              <w:rPr>
                <w:rFonts w:ascii="Times New Roman" w:hAnsi="Times New Roman"/>
                <w:i/>
                <w:color w:val="000000"/>
              </w:rPr>
              <w:lastRenderedPageBreak/>
              <w:t>органов, как в целях гармонизации регуляторных подходов на международном уровне, как и ввиду создания мегарегулятора финансового рынка в лице Банка России. В такой ситуации многократно возрастает значение качественного, оперативного и всестороннего комплаенс-контроля у участников финансового рынка.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Нормативные изменения не всегда успевают за стремительностью развития рынка, а также часто не способны учесть все индивидуальные особенности операционной структуры, бизнес-процессов и спектра услуг отдельного участника рынка, что многократно повышает роль мотивированного профессионального суждения сотрудников комплаенс-контроля о наличии потенциальных рисков в деятельности организации и способах их минимизации как основы формирования корпоративной культуры добросовестного поведения и деловой репутации компании и отрасли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в целом.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Есть ли общие основы, принципы формирования и применения профессионального суждения в комплаенс-контроле участников рынка? Заинтересованы ли участники рынка в его внедрении и соблюдении? В чем заключаются сложности и проблемы его применения? Роль профессионального сообщества и Банка России в его разработке, имплементации и контроле соблюдения. Использование международных и российских стандартов и опыта. Формирование корпоративной культуры добросовестного поведения и значение деловой репутации.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В ходе дискуссии по страхованию в рамках сессии планируется обсудить актуальность создания нормативной среды, в том числе разработки унифицированной системы стандартов в области построения системы внутреннего контроля, в том числе функции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Compliance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как необходимого элемента системы внутреннего контроля. Планируется обсудить основные задачи и функции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Compliance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, рассмотреть зарубежную практику функции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Compliance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(SOX, FCPA, UK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Bribery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Act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). В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целях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создани</w:t>
            </w:r>
            <w:r w:rsidR="00746BFC">
              <w:rPr>
                <w:rFonts w:ascii="Times New Roman" w:hAnsi="Times New Roman"/>
                <w:i/>
                <w:color w:val="000000"/>
              </w:rPr>
              <w:t>я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бизнес</w:t>
            </w:r>
            <w:r w:rsidR="00746BFC">
              <w:rPr>
                <w:rFonts w:ascii="Times New Roman" w:hAnsi="Times New Roman"/>
                <w:i/>
                <w:color w:val="000000"/>
              </w:rPr>
              <w:t>-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среды, основанной на принципах законности, этичности, прозрачности, планируется представить основные задачи в рамках формирования культуры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Compliance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в организациях, поднадзорных Банку России. 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Также планируется обсудить вопросы реализации института кураторства, призванного решать задачи ранней идентификации проблем в организациях, а также реализовывать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риск-ориентированный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подход, включая элементы профессионального суждения об уровне принимаемых организациями рисков.</w:t>
            </w:r>
          </w:p>
          <w:p w:rsidR="00A470B5" w:rsidRPr="00793BBC" w:rsidRDefault="00A470B5" w:rsidP="00385A4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Предполагается проведение дискуссии о взаимодействии контрольных функций системы внутреннего контроля организации (в том числе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Compliance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>) и куратора.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93BBC">
              <w:rPr>
                <w:rFonts w:ascii="Times New Roman" w:hAnsi="Times New Roman"/>
                <w:bCs/>
                <w:iCs/>
              </w:rPr>
              <w:t>КС 2.4:</w:t>
            </w:r>
            <w:r w:rsidR="00385A4B" w:rsidRPr="00793BBC">
              <w:rPr>
                <w:rFonts w:ascii="Times New Roman" w:hAnsi="Times New Roman"/>
                <w:bCs/>
                <w:iCs/>
              </w:rPr>
              <w:t xml:space="preserve"> </w:t>
            </w:r>
            <w:r w:rsidRPr="00793BBC">
              <w:rPr>
                <w:rFonts w:ascii="Times New Roman" w:hAnsi="Times New Roman"/>
                <w:b/>
                <w:bCs/>
                <w:iCs/>
              </w:rPr>
              <w:t>Доверительное управление: перспективы развития отрасли</w:t>
            </w:r>
          </w:p>
          <w:p w:rsidR="00A470B5" w:rsidRPr="00793BBC" w:rsidRDefault="00A470B5" w:rsidP="00385A4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Развитие рынка доверительного управления в России связано с повышением доверия к участникам рынка </w:t>
            </w:r>
            <w:r w:rsidR="00793BBC">
              <w:rPr>
                <w:rFonts w:ascii="Times New Roman" w:hAnsi="Times New Roman"/>
                <w:i/>
                <w:color w:val="000000"/>
              </w:rPr>
              <w:t>—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доверительным управляющим. Обеспечение деятельности доверительных управляющих в интересах выгодоприобретателей является совместной задачей самих доверительных управляющих, Банка России и саморегулируемых организаций. Решение этой задачи связано как с повышением прозрачности и подотчетности доверительных управляющих, так и с развитием институтов, обеспечивающих независимую оценку их деятельности. Также предлагается </w:t>
            </w:r>
            <w:r w:rsidRPr="00793BBC">
              <w:rPr>
                <w:rFonts w:ascii="Times New Roman" w:hAnsi="Times New Roman"/>
                <w:i/>
                <w:color w:val="000000"/>
              </w:rPr>
              <w:lastRenderedPageBreak/>
              <w:t>обсудить вопросы различий в регулировании коллективного и индивидуального доверительного управления и оценить наличие барьеров на пути развития доверительного управления.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93BBC">
              <w:rPr>
                <w:rFonts w:ascii="Times New Roman" w:eastAsia="Calibri" w:hAnsi="Times New Roman"/>
                <w:bCs/>
              </w:rPr>
              <w:t>КС 2.5:</w:t>
            </w:r>
            <w:r w:rsidR="00385A4B" w:rsidRPr="00793BBC">
              <w:rPr>
                <w:rFonts w:ascii="Times New Roman" w:eastAsia="Calibri" w:hAnsi="Times New Roman"/>
                <w:bCs/>
              </w:rPr>
              <w:t xml:space="preserve"> </w:t>
            </w:r>
            <w:r w:rsidRPr="00793BBC">
              <w:rPr>
                <w:rFonts w:ascii="Times New Roman" w:eastAsia="Calibri" w:hAnsi="Times New Roman"/>
                <w:b/>
                <w:bCs/>
              </w:rPr>
              <w:t>Роль саморегулирования на финансовом рынке</w:t>
            </w:r>
          </w:p>
          <w:p w:rsidR="00A470B5" w:rsidRPr="00793BBC" w:rsidRDefault="00A470B5" w:rsidP="00385A4B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 xml:space="preserve">В целях повышения эффективности института саморегулирования в сфере финансового рынка принят Федеральный закон от 13 июля 2015 года № 223-ФЗ «О саморегулируемых организациях в сфере финансового рынка и о внесении изменений в статьи 2 и 6 Федерального закона </w:t>
            </w:r>
            <w:r w:rsidR="00746BFC" w:rsidRPr="00E07CDF">
              <w:rPr>
                <w:rFonts w:ascii="Times New Roman" w:hAnsi="Times New Roman"/>
                <w:i/>
                <w:color w:val="000000"/>
              </w:rPr>
              <w:t>“</w:t>
            </w:r>
            <w:r w:rsidRPr="00793BBC">
              <w:rPr>
                <w:rFonts w:ascii="Times New Roman" w:hAnsi="Times New Roman"/>
                <w:i/>
                <w:color w:val="000000"/>
              </w:rPr>
              <w:t>О внесении изменений в отдельные законодательные акты Российской Федерации</w:t>
            </w:r>
            <w:r w:rsidR="00746BFC" w:rsidRPr="00E07CDF">
              <w:rPr>
                <w:rFonts w:ascii="Times New Roman" w:hAnsi="Times New Roman"/>
                <w:i/>
                <w:color w:val="000000"/>
              </w:rPr>
              <w:t>”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, который вступил в силу 11 января 2016 года. </w:t>
            </w:r>
            <w:proofErr w:type="gramEnd"/>
          </w:p>
          <w:p w:rsidR="00385A4B" w:rsidRPr="00793BBC" w:rsidRDefault="00A470B5" w:rsidP="00385A4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 xml:space="preserve">Предлагается обсудить подходы к реализации требований Федерального закона для обеспечения формирования целостной регулятивной системы, отвечающей интересам профессиональных участников различных сегментов финансового рынка, а также вопросы стандартизации деятельности саморегулируемых организаций в сфере финансового рынка и их членов, направленной на формирование правил поведения на рынке </w:t>
            </w:r>
            <w:r w:rsidR="00793BBC">
              <w:rPr>
                <w:rFonts w:ascii="Times New Roman" w:hAnsi="Times New Roman"/>
                <w:i/>
                <w:color w:val="000000"/>
              </w:rPr>
              <w:t>—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прозрачных и понятных, как для финансовых организаций, так и для потребителей их услуг. </w:t>
            </w:r>
            <w:proofErr w:type="gramEnd"/>
          </w:p>
          <w:p w:rsidR="0063599D" w:rsidRPr="00793BBC" w:rsidRDefault="0063599D" w:rsidP="00385A4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793BBC">
              <w:rPr>
                <w:rFonts w:ascii="Times New Roman" w:hAnsi="Times New Roman"/>
              </w:rPr>
              <w:t>КС 2.6:</w:t>
            </w:r>
            <w:r w:rsidR="00385A4B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  <w:bCs/>
              </w:rPr>
              <w:t>Развитие российского рынка финансовых инструментов</w:t>
            </w:r>
          </w:p>
          <w:p w:rsidR="00A470B5" w:rsidRPr="00793BBC" w:rsidRDefault="00A470B5" w:rsidP="00385A4B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В свете ужесточения регуляторных требований к финансовым институтам и снижения доступности банковского кредита, имеется необходимость в устранении существующих барьеров для выхода российских заемщиков на рынки капитала и расширении спектра доступных финансовых инструментов.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При этом первостепенное значение имеет обеспечение участников рынка надежной инфраструктурой и доступом к современным технологиям. В ходе сессии предлагается обсудить также требования к качеству финансового посредничества и защите прав инвесторов. Эффективное использование иностранного опыта по вышеуказанным направлениям должно стать залогом успешного развития российской экономической системы и ее конкурентоспособности на международном уровне. </w:t>
            </w:r>
          </w:p>
        </w:tc>
      </w:tr>
      <w:tr w:rsidR="00A470B5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385A4B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 xml:space="preserve">КС 2.7: </w:t>
            </w:r>
            <w:r w:rsidRPr="00793BBC">
              <w:rPr>
                <w:rFonts w:ascii="Times New Roman" w:hAnsi="Times New Roman"/>
                <w:b/>
              </w:rPr>
              <w:t xml:space="preserve">Цифровые финансовые технологии. Технология </w:t>
            </w:r>
            <w:proofErr w:type="spellStart"/>
            <w:r w:rsidRPr="00793BBC">
              <w:rPr>
                <w:rFonts w:ascii="Times New Roman" w:hAnsi="Times New Roman"/>
                <w:b/>
                <w:i/>
              </w:rPr>
              <w:t>Blockchain</w:t>
            </w:r>
            <w:proofErr w:type="spellEnd"/>
          </w:p>
          <w:p w:rsidR="00A470B5" w:rsidRPr="00793BBC" w:rsidRDefault="00A470B5" w:rsidP="00401E01">
            <w:pPr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Предлагается обсудить технологии, которые окажут значительное влияние на банковскую и финансовую сферу, приведут к созданию цифровых бизнес-процессов на горизонте ближайших </w:t>
            </w:r>
            <w:r w:rsidR="00746BFC">
              <w:rPr>
                <w:rFonts w:ascii="Times New Roman" w:hAnsi="Times New Roman"/>
                <w:i/>
              </w:rPr>
              <w:t>пя</w:t>
            </w:r>
            <w:r w:rsidRPr="00793BBC">
              <w:rPr>
                <w:rFonts w:ascii="Times New Roman" w:hAnsi="Times New Roman"/>
                <w:i/>
              </w:rPr>
              <w:t xml:space="preserve">ти лет. Будут затронуты вопросы использования технологий </w:t>
            </w:r>
            <w:proofErr w:type="spellStart"/>
            <w:r w:rsidRPr="00793BBC">
              <w:rPr>
                <w:rFonts w:ascii="Times New Roman" w:hAnsi="Times New Roman"/>
                <w:i/>
              </w:rPr>
              <w:t>блокчейн</w:t>
            </w:r>
            <w:proofErr w:type="spellEnd"/>
            <w:r w:rsidRPr="00793BBC">
              <w:rPr>
                <w:rFonts w:ascii="Times New Roman" w:hAnsi="Times New Roman"/>
                <w:i/>
              </w:rPr>
              <w:t>, принятия решений на основе элементов искусственного интеллекта, предиктивной и перспективной аналитики, Интернета вещей (</w:t>
            </w:r>
            <w:proofErr w:type="spellStart"/>
            <w:r w:rsidRPr="00793BBC">
              <w:rPr>
                <w:rFonts w:ascii="Times New Roman" w:hAnsi="Times New Roman"/>
                <w:i/>
              </w:rPr>
              <w:t>IoT</w:t>
            </w:r>
            <w:proofErr w:type="spellEnd"/>
            <w:r w:rsidRPr="00793BBC">
              <w:rPr>
                <w:rFonts w:ascii="Times New Roman" w:hAnsi="Times New Roman"/>
                <w:i/>
              </w:rPr>
              <w:t>), Индустриальная революция 4.0 и др.</w:t>
            </w:r>
          </w:p>
        </w:tc>
      </w:tr>
      <w:tr w:rsidR="00961A0C" w:rsidRPr="00793BBC" w:rsidTr="00810550">
        <w:trPr>
          <w:trHeight w:val="572"/>
        </w:trPr>
        <w:tc>
          <w:tcPr>
            <w:tcW w:w="1951" w:type="dxa"/>
            <w:tcBorders>
              <w:top w:val="nil"/>
              <w:bottom w:val="nil"/>
            </w:tcBorders>
          </w:tcPr>
          <w:p w:rsidR="00961A0C" w:rsidRPr="00793BBC" w:rsidRDefault="00961A0C" w:rsidP="00385A4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961A0C" w:rsidRPr="00961A0C" w:rsidRDefault="00961A0C" w:rsidP="00961A0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961A0C">
              <w:rPr>
                <w:rFonts w:ascii="Times New Roman" w:hAnsi="Times New Roman"/>
              </w:rPr>
              <w:t xml:space="preserve">КС 2.8: </w:t>
            </w:r>
            <w:r w:rsidRPr="00961A0C">
              <w:rPr>
                <w:rFonts w:ascii="Times New Roman" w:hAnsi="Times New Roman"/>
                <w:b/>
              </w:rPr>
              <w:t>Реструктуризация финансовых институтов: цели и методы, роль государства и рыночных игроков</w:t>
            </w:r>
          </w:p>
          <w:p w:rsidR="00961A0C" w:rsidRPr="00961A0C" w:rsidRDefault="00961A0C" w:rsidP="00961A0C">
            <w:pPr>
              <w:spacing w:before="120" w:after="0"/>
              <w:jc w:val="both"/>
              <w:rPr>
                <w:rFonts w:ascii="Times New Roman" w:hAnsi="Times New Roman"/>
                <w:i/>
              </w:rPr>
            </w:pPr>
            <w:r w:rsidRPr="00961A0C">
              <w:rPr>
                <w:rFonts w:ascii="Times New Roman" w:hAnsi="Times New Roman"/>
                <w:i/>
              </w:rPr>
              <w:t xml:space="preserve">В ходе работы по укреплению банковского сектора реализуются мероприятия по финансовому оздоровлению банков. Финансовые организации других сегментов рынка могут потребовать вмешательства с целью </w:t>
            </w:r>
            <w:r w:rsidRPr="00961A0C">
              <w:rPr>
                <w:rFonts w:ascii="Times New Roman" w:hAnsi="Times New Roman"/>
                <w:i/>
              </w:rPr>
              <w:lastRenderedPageBreak/>
              <w:t>улучшения их финансового состояния и повышения доверия к индустрии.</w:t>
            </w:r>
          </w:p>
          <w:p w:rsidR="00961A0C" w:rsidRPr="00793BBC" w:rsidRDefault="00961A0C" w:rsidP="00961A0C">
            <w:pPr>
              <w:spacing w:after="120"/>
              <w:jc w:val="both"/>
              <w:rPr>
                <w:rFonts w:ascii="Times New Roman" w:hAnsi="Times New Roman"/>
              </w:rPr>
            </w:pPr>
            <w:r w:rsidRPr="00961A0C">
              <w:rPr>
                <w:rFonts w:ascii="Times New Roman" w:hAnsi="Times New Roman"/>
                <w:i/>
              </w:rPr>
              <w:t xml:space="preserve">Важно определить меру ответственности рынка и степень допустимого вмешательства государства в эти процессы, а также возможные подходы на основе международной практики к совершенствованию законодательства в данной сфере. Актуальной является тема соотношения государственных и рыночных источников финансирования, формы внедрения в России механизмов </w:t>
            </w:r>
            <w:proofErr w:type="spellStart"/>
            <w:r w:rsidRPr="00961A0C">
              <w:rPr>
                <w:rFonts w:ascii="Times New Roman" w:hAnsi="Times New Roman"/>
                <w:i/>
              </w:rPr>
              <w:t>bail</w:t>
            </w:r>
            <w:proofErr w:type="spellEnd"/>
            <w:r w:rsidRPr="00961A0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1A0C">
              <w:rPr>
                <w:rFonts w:ascii="Times New Roman" w:hAnsi="Times New Roman"/>
                <w:i/>
              </w:rPr>
              <w:t>in</w:t>
            </w:r>
            <w:proofErr w:type="spellEnd"/>
            <w:r w:rsidRPr="00961A0C">
              <w:rPr>
                <w:rFonts w:ascii="Times New Roman" w:hAnsi="Times New Roman"/>
                <w:i/>
              </w:rPr>
              <w:t>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lastRenderedPageBreak/>
              <w:t>15:00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15:30</w:t>
            </w: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Кофе-брейк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</w:tcPr>
          <w:p w:rsidR="00401E01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15:30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  <w:u w:val="single"/>
              </w:rPr>
              <w:t>Пленарное заседание 6</w:t>
            </w:r>
            <w:r w:rsidRPr="00793BBC">
              <w:rPr>
                <w:rFonts w:ascii="Times New Roman" w:hAnsi="Times New Roman"/>
              </w:rPr>
              <w:t>:</w:t>
            </w:r>
            <w:r w:rsidRPr="00793BBC">
              <w:rPr>
                <w:rFonts w:ascii="Times New Roman" w:hAnsi="Times New Roman"/>
                <w:b/>
              </w:rPr>
              <w:t xml:space="preserve"> </w:t>
            </w:r>
            <w:r w:rsidR="00401E01" w:rsidRPr="00793BBC">
              <w:rPr>
                <w:rFonts w:ascii="Times New Roman" w:hAnsi="Times New Roman"/>
                <w:b/>
              </w:rPr>
              <w:t>Корпоративные университеты</w:t>
            </w:r>
            <w:r w:rsidRPr="00793BBC">
              <w:rPr>
                <w:rFonts w:ascii="Times New Roman" w:hAnsi="Times New Roman"/>
              </w:rPr>
              <w:t xml:space="preserve"> </w:t>
            </w:r>
          </w:p>
          <w:p w:rsidR="00401E01" w:rsidRPr="00793BBC" w:rsidRDefault="00401E01" w:rsidP="00401E01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bottom w:val="single" w:sz="4" w:space="0" w:color="auto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16:30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16:45</w:t>
            </w: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93BBC">
              <w:rPr>
                <w:rFonts w:ascii="Times New Roman" w:hAnsi="Times New Roman"/>
              </w:rPr>
              <w:t>Кофе-брейк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/>
              </w:rPr>
              <w:t>16:45</w:t>
            </w:r>
            <w:r w:rsidR="00793BBC">
              <w:rPr>
                <w:rFonts w:ascii="Times New Roman" w:hAnsi="Times New Roman"/>
                <w:b/>
              </w:rPr>
              <w:t>—</w:t>
            </w:r>
            <w:r w:rsidRPr="00793BBC">
              <w:rPr>
                <w:rFonts w:ascii="Times New Roman" w:hAnsi="Times New Roman"/>
                <w:b/>
              </w:rPr>
              <w:t>18:00</w:t>
            </w: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  <w:b/>
                <w:u w:val="single"/>
              </w:rPr>
            </w:pPr>
            <w:r w:rsidRPr="00793BBC">
              <w:rPr>
                <w:rFonts w:ascii="Times New Roman" w:hAnsi="Times New Roman"/>
                <w:b/>
                <w:u w:val="single"/>
              </w:rPr>
              <w:t>Параллельные КС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 xml:space="preserve">КС 3.1: </w:t>
            </w:r>
            <w:r w:rsidRPr="00793BBC">
              <w:rPr>
                <w:rFonts w:ascii="Times New Roman" w:hAnsi="Times New Roman"/>
                <w:b/>
              </w:rPr>
              <w:t>Банковский бизнес и современные технологии: сервис, риски, эффективность</w:t>
            </w:r>
          </w:p>
          <w:p w:rsidR="00A470B5" w:rsidRPr="00793BBC" w:rsidRDefault="00A470B5" w:rsidP="00401E01">
            <w:pPr>
              <w:pStyle w:val="af"/>
              <w:spacing w:after="12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круглого стола предполагается </w:t>
            </w:r>
            <w:r w:rsidR="007D342A" w:rsidRPr="00793BBC">
              <w:rPr>
                <w:rFonts w:ascii="Times New Roman" w:hAnsi="Times New Roman"/>
                <w:i/>
              </w:rPr>
              <w:t xml:space="preserve">рассмотреть </w:t>
            </w:r>
            <w:r w:rsidRPr="00793BBC">
              <w:rPr>
                <w:rFonts w:ascii="Times New Roman" w:hAnsi="Times New Roman"/>
                <w:i/>
              </w:rPr>
              <w:t>тематику возможностей и рисков, возникающих в связи с масштабным внедрением в банковскую практику новых технологий.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793BBC">
              <w:rPr>
                <w:rFonts w:ascii="Times New Roman" w:eastAsia="Calibri" w:hAnsi="Times New Roman"/>
                <w:bCs/>
              </w:rPr>
              <w:t>КС 3.2:</w:t>
            </w:r>
            <w:r w:rsidR="00401E01" w:rsidRPr="00793BBC">
              <w:rPr>
                <w:rFonts w:ascii="Times New Roman" w:eastAsia="Calibri" w:hAnsi="Times New Roman"/>
                <w:bCs/>
              </w:rPr>
              <w:t xml:space="preserve"> </w:t>
            </w:r>
            <w:r w:rsidRPr="00793BBC">
              <w:rPr>
                <w:rFonts w:ascii="Times New Roman" w:eastAsia="Calibri" w:hAnsi="Times New Roman"/>
                <w:b/>
                <w:bCs/>
              </w:rPr>
              <w:t xml:space="preserve">Рейтинговая информация и ее использование </w:t>
            </w:r>
          </w:p>
          <w:p w:rsidR="00A470B5" w:rsidRPr="00793BBC" w:rsidRDefault="00A470B5" w:rsidP="00401E01">
            <w:pPr>
              <w:spacing w:after="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Кредитные рейтинговые агентства являются важным элементом инфраструктуры финансового рынка. На базе мнения кредитных рейтинговых агентств о кредитоспособности (финансовой устойчивости, надежности) организаций, их отдельных финансовых обязательств и инструментов формируется суждение финансовом состоянии и платежеспособности компаний, принимаются инвестиционные решения.</w:t>
            </w:r>
          </w:p>
          <w:p w:rsidR="00401E01" w:rsidRPr="00793BBC" w:rsidRDefault="00A470B5" w:rsidP="00401E01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Предлагается обсудить подходы к реализации положений нового законодательства Российской Федерации в сфере деятельности кредитных рейтинговых агентств, ожидания рынка в части качества рейтинговых оценок, независимости и прозрачности деятельности кредитных рейтинговых агентств. 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  <w:bCs/>
                <w:iCs/>
              </w:rPr>
              <w:t>КС 3.3:</w:t>
            </w:r>
            <w:r w:rsidR="00401E01" w:rsidRPr="00793BBC">
              <w:rPr>
                <w:rFonts w:ascii="Times New Roman" w:hAnsi="Times New Roman"/>
                <w:bCs/>
                <w:iCs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Развитие медицинского страхования</w:t>
            </w:r>
          </w:p>
          <w:p w:rsidR="00A470B5" w:rsidRPr="00793BBC" w:rsidRDefault="00A470B5" w:rsidP="00401E01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Развитию медицинского страхования уделяется большое внимание со стороны руководства страны, что отражено в поручениях Президента Российской Федерации и Правительства Российской Федерации. В рамках КС планируется оценить перспективы развития медицинского страхования, обсудить соотношение ОМС и ДМС, обменяться мнениями о возможной конкретизации обязанностей страховых медицинских организаций (СМО) по защите прав застрахованных лиц при оказании им медицинской помощи медицинскими организациями, а также усилении контроля за исполнением СМО обязанностей в системе ОМС </w:t>
            </w:r>
            <w:r w:rsidR="00746BFC">
              <w:rPr>
                <w:rFonts w:ascii="Times New Roman" w:hAnsi="Times New Roman"/>
                <w:i/>
                <w:color w:val="000000"/>
              </w:rPr>
              <w:t>и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мерах ответственности за их неисполнение.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793BBC">
              <w:rPr>
                <w:rFonts w:ascii="Times New Roman" w:hAnsi="Times New Roman"/>
                <w:bCs/>
              </w:rPr>
              <w:t xml:space="preserve">КС 3.4: </w:t>
            </w:r>
            <w:r w:rsidRPr="00793BBC">
              <w:rPr>
                <w:rFonts w:ascii="Times New Roman" w:hAnsi="Times New Roman"/>
                <w:b/>
                <w:bCs/>
              </w:rPr>
              <w:t xml:space="preserve">Перспективы развития </w:t>
            </w:r>
            <w:proofErr w:type="gramStart"/>
            <w:r w:rsidRPr="00793BBC">
              <w:rPr>
                <w:rFonts w:ascii="Times New Roman" w:hAnsi="Times New Roman"/>
                <w:b/>
                <w:bCs/>
              </w:rPr>
              <w:t>бизнес-моделей</w:t>
            </w:r>
            <w:proofErr w:type="gramEnd"/>
            <w:r w:rsidRPr="00793BBC">
              <w:rPr>
                <w:rFonts w:ascii="Times New Roman" w:hAnsi="Times New Roman"/>
                <w:b/>
                <w:bCs/>
              </w:rPr>
              <w:t xml:space="preserve"> финансовых посредников</w:t>
            </w:r>
          </w:p>
          <w:p w:rsidR="00A470B5" w:rsidRPr="00793BBC" w:rsidRDefault="00A470B5" w:rsidP="00401E01">
            <w:pPr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lastRenderedPageBreak/>
              <w:t>В рамках КС будут обсуждены вопросы, связанные с изменением бизнес-моделей финансовых посредников, в том числе вызванных изменениям</w:t>
            </w:r>
            <w:r w:rsidR="00746BFC">
              <w:rPr>
                <w:rFonts w:ascii="Times New Roman" w:hAnsi="Times New Roman"/>
                <w:i/>
                <w:color w:val="000000"/>
              </w:rPr>
              <w:t>и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в регулировании и надзоре профессиональных участников рынка ценных бумаг. Планируется обсудить развитие пруденциального регулирования в отношении профессиональных участников рынка ценных бумаг, включая новые подходы к регулированию достаточности собственных средств и введению норматива ликвидности, основанные на </w:t>
            </w:r>
            <w:r w:rsidR="00746BFC">
              <w:rPr>
                <w:rFonts w:ascii="Times New Roman" w:hAnsi="Times New Roman"/>
                <w:i/>
                <w:color w:val="000000"/>
              </w:rPr>
              <w:t>б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азельских подходах, а также внедрение требований к СУР профучастников и непрерывности их деятельности. Предметом дискуссии должна также стать имплементация </w:t>
            </w:r>
            <w:r w:rsidR="00FA1445">
              <w:rPr>
                <w:rFonts w:ascii="Times New Roman" w:hAnsi="Times New Roman"/>
                <w:i/>
                <w:color w:val="000000"/>
              </w:rPr>
              <w:t>п</w:t>
            </w:r>
            <w:r w:rsidRPr="00793BBC">
              <w:rPr>
                <w:rFonts w:ascii="Times New Roman" w:hAnsi="Times New Roman"/>
                <w:i/>
                <w:color w:val="000000"/>
              </w:rPr>
              <w:t>ринципов ИОСКО в деятельность российских финансовых посредников. В части надзора за профучастниками планируется обсудить темы дестимулирования недобросовестных практик, взаимодействие банковского и небанковского надзора в части оценки вложений в ценные бумаги поднадзорных организаций и операции с ними.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793BBC">
              <w:rPr>
                <w:rFonts w:ascii="Times New Roman" w:hAnsi="Times New Roman"/>
                <w:bCs/>
              </w:rPr>
              <w:t>КС 3.5:</w:t>
            </w:r>
            <w:r w:rsidR="00401E01" w:rsidRPr="00793BBC">
              <w:rPr>
                <w:rFonts w:ascii="Times New Roman" w:hAnsi="Times New Roman"/>
                <w:bCs/>
              </w:rPr>
              <w:t xml:space="preserve"> </w:t>
            </w:r>
            <w:r w:rsidRPr="00793BBC">
              <w:rPr>
                <w:rFonts w:ascii="Times New Roman" w:hAnsi="Times New Roman"/>
                <w:b/>
                <w:bCs/>
              </w:rPr>
              <w:t>Будущее рынка микрофинансирования: вызовы и возможности</w:t>
            </w:r>
          </w:p>
          <w:p w:rsidR="00401E01" w:rsidRPr="00793BBC" w:rsidRDefault="00401E01" w:rsidP="00401E01">
            <w:pPr>
              <w:spacing w:before="120"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  <w:p w:rsidR="00A470B5" w:rsidRPr="00793BBC" w:rsidRDefault="00A470B5" w:rsidP="00401E01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 КС планируется обсудить лучшие тренды рынка микрофинансирования, используемые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микрофинансовыми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организациями. Предполагается обсудить роль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микрофинансовых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организаций в поддержке малого и среднего предпринимательства, лучшие </w:t>
            </w:r>
            <w:proofErr w:type="gramStart"/>
            <w:r w:rsidRPr="00793BBC">
              <w:rPr>
                <w:rFonts w:ascii="Times New Roman" w:hAnsi="Times New Roman"/>
                <w:i/>
                <w:color w:val="000000"/>
              </w:rPr>
              <w:t>бизнес-практики</w:t>
            </w:r>
            <w:proofErr w:type="gramEnd"/>
            <w:r w:rsidRPr="00793BBC">
              <w:rPr>
                <w:rFonts w:ascii="Times New Roman" w:hAnsi="Times New Roman"/>
                <w:i/>
                <w:color w:val="000000"/>
              </w:rPr>
              <w:t xml:space="preserve">, программные решения, перспективные технологии, позволяющие </w:t>
            </w:r>
            <w:proofErr w:type="spellStart"/>
            <w:r w:rsidRPr="00793BBC">
              <w:rPr>
                <w:rFonts w:ascii="Times New Roman" w:hAnsi="Times New Roman"/>
                <w:i/>
                <w:color w:val="000000"/>
              </w:rPr>
              <w:t>микрофинансовым</w:t>
            </w:r>
            <w:proofErr w:type="spellEnd"/>
            <w:r w:rsidRPr="00793BBC">
              <w:rPr>
                <w:rFonts w:ascii="Times New Roman" w:hAnsi="Times New Roman"/>
                <w:i/>
                <w:color w:val="000000"/>
              </w:rPr>
              <w:t xml:space="preserve"> организациям снизить издержки, конечную стоимость продукта для потребителя финансовых услуг, а также повысить качество оценки заемщиков.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  <w:bCs/>
              </w:rPr>
            </w:pPr>
            <w:r w:rsidRPr="00793BBC">
              <w:rPr>
                <w:rFonts w:ascii="Times New Roman" w:hAnsi="Times New Roman"/>
              </w:rPr>
              <w:t>КС 3.6:</w:t>
            </w:r>
            <w:r w:rsidR="00401E01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  <w:bCs/>
              </w:rPr>
              <w:t>Инвестиционные консультанты: теория, практика, перспективы</w:t>
            </w:r>
            <w:r w:rsidRPr="00793BBC">
              <w:rPr>
                <w:rFonts w:ascii="Times New Roman" w:hAnsi="Times New Roman"/>
                <w:bCs/>
              </w:rPr>
              <w:t xml:space="preserve"> </w:t>
            </w:r>
          </w:p>
          <w:p w:rsidR="00A470B5" w:rsidRPr="00793BBC" w:rsidRDefault="00A470B5" w:rsidP="00401E01">
            <w:pPr>
              <w:jc w:val="both"/>
              <w:rPr>
                <w:rFonts w:ascii="Times New Roman" w:hAnsi="Times New Roman"/>
                <w:i/>
                <w:color w:val="000000"/>
              </w:rPr>
            </w:pPr>
            <w:r w:rsidRPr="00793BBC">
              <w:rPr>
                <w:rFonts w:ascii="Times New Roman" w:hAnsi="Times New Roman"/>
                <w:i/>
                <w:color w:val="000000"/>
              </w:rPr>
              <w:t>В настоящее время в Российской Федерации нормативно не закреплено понятие инвестиционного консультанта, вместе с тем запрета на осуществление данной деятельности не предусмотрено. Таким образом, данную деятельность оказывают как финансовые организации, так и физические лица. В ходе КС предлагается обсудить перспективы введения регулирования института финансового консультирования. Отдельного внимания заслуживает обсуждение требований к ответственности, предъявляемой к инвестиционным консультантам за принимаемые им</w:t>
            </w:r>
            <w:r w:rsidR="00FA1445">
              <w:rPr>
                <w:rFonts w:ascii="Times New Roman" w:hAnsi="Times New Roman"/>
                <w:i/>
                <w:color w:val="000000"/>
              </w:rPr>
              <w:t>и</w:t>
            </w:r>
            <w:r w:rsidRPr="00793BBC">
              <w:rPr>
                <w:rFonts w:ascii="Times New Roman" w:hAnsi="Times New Roman"/>
                <w:i/>
                <w:color w:val="000000"/>
              </w:rPr>
              <w:t xml:space="preserve"> решения и другим лицам, определяющим инвестиционный профиль клиентов.</w:t>
            </w:r>
          </w:p>
        </w:tc>
      </w:tr>
      <w:tr w:rsidR="00A470B5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A470B5" w:rsidRPr="00793BBC" w:rsidRDefault="00A470B5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A470B5" w:rsidRPr="00793BBC" w:rsidRDefault="00A470B5" w:rsidP="00401E01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93BBC">
              <w:rPr>
                <w:rFonts w:ascii="Times New Roman" w:hAnsi="Times New Roman"/>
              </w:rPr>
              <w:t>КС 3.7:</w:t>
            </w:r>
            <w:r w:rsidR="00401E01" w:rsidRPr="00793BBC">
              <w:rPr>
                <w:rFonts w:ascii="Times New Roman" w:hAnsi="Times New Roman"/>
              </w:rPr>
              <w:t xml:space="preserve"> </w:t>
            </w:r>
            <w:r w:rsidRPr="00793BBC">
              <w:rPr>
                <w:rFonts w:ascii="Times New Roman" w:hAnsi="Times New Roman"/>
                <w:b/>
              </w:rPr>
              <w:t>Карта МИР. Обеспечение массовости и доступности национальных платежных инструментов</w:t>
            </w:r>
          </w:p>
          <w:p w:rsidR="00A470B5" w:rsidRPr="00793BBC" w:rsidRDefault="00A470B5" w:rsidP="00401E01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793BBC">
              <w:rPr>
                <w:rFonts w:ascii="Times New Roman" w:hAnsi="Times New Roman"/>
                <w:i/>
              </w:rPr>
              <w:t xml:space="preserve">В </w:t>
            </w:r>
            <w:proofErr w:type="gramStart"/>
            <w:r w:rsidRPr="00793BBC">
              <w:rPr>
                <w:rFonts w:ascii="Times New Roman" w:hAnsi="Times New Roman"/>
                <w:i/>
              </w:rPr>
              <w:t>рамках</w:t>
            </w:r>
            <w:proofErr w:type="gramEnd"/>
            <w:r w:rsidRPr="00793BBC">
              <w:rPr>
                <w:rFonts w:ascii="Times New Roman" w:hAnsi="Times New Roman"/>
                <w:i/>
              </w:rPr>
              <w:t xml:space="preserve"> КС предлагается обсудить развитие ПС «Мир», задачи банков по выпуску национальных платежных инструментов и обеспечению их приема в соответствии с требованиями законодательства.</w:t>
            </w:r>
          </w:p>
        </w:tc>
      </w:tr>
      <w:tr w:rsidR="00961A0C" w:rsidRPr="00793BBC" w:rsidTr="00810550">
        <w:trPr>
          <w:trHeight w:val="542"/>
        </w:trPr>
        <w:tc>
          <w:tcPr>
            <w:tcW w:w="1951" w:type="dxa"/>
            <w:tcBorders>
              <w:top w:val="nil"/>
              <w:bottom w:val="nil"/>
            </w:tcBorders>
          </w:tcPr>
          <w:p w:rsidR="00961A0C" w:rsidRPr="00793BBC" w:rsidRDefault="00961A0C" w:rsidP="00401E0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20" w:type="dxa"/>
          </w:tcPr>
          <w:p w:rsidR="00961A0C" w:rsidRPr="00961A0C" w:rsidRDefault="00961A0C" w:rsidP="00961A0C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961A0C">
              <w:rPr>
                <w:rFonts w:ascii="Times New Roman" w:hAnsi="Times New Roman"/>
              </w:rPr>
              <w:t>К</w:t>
            </w:r>
            <w:proofErr w:type="gramStart"/>
            <w:r w:rsidRPr="00961A0C">
              <w:rPr>
                <w:rFonts w:ascii="Times New Roman" w:hAnsi="Times New Roman"/>
              </w:rPr>
              <w:t>C</w:t>
            </w:r>
            <w:proofErr w:type="gramEnd"/>
            <w:r w:rsidRPr="00961A0C">
              <w:rPr>
                <w:rFonts w:ascii="Times New Roman" w:hAnsi="Times New Roman"/>
              </w:rPr>
              <w:t xml:space="preserve"> 3.8</w:t>
            </w:r>
            <w:r>
              <w:rPr>
                <w:rFonts w:ascii="Times New Roman" w:hAnsi="Times New Roman"/>
              </w:rPr>
              <w:t>:</w:t>
            </w:r>
            <w:r w:rsidRPr="00961A0C">
              <w:rPr>
                <w:rFonts w:ascii="Times New Roman" w:hAnsi="Times New Roman"/>
              </w:rPr>
              <w:t xml:space="preserve"> </w:t>
            </w:r>
            <w:r w:rsidRPr="00961A0C">
              <w:rPr>
                <w:rFonts w:ascii="Times New Roman" w:hAnsi="Times New Roman"/>
                <w:b/>
              </w:rPr>
              <w:t>Финансовая грамотность - важнейшее условие развития финансовых рынков</w:t>
            </w:r>
          </w:p>
          <w:p w:rsidR="00961A0C" w:rsidRPr="00961A0C" w:rsidRDefault="00961A0C" w:rsidP="00961A0C">
            <w:p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 w:rsidRPr="00961A0C">
              <w:rPr>
                <w:rFonts w:ascii="Times New Roman" w:hAnsi="Times New Roman"/>
                <w:i/>
              </w:rPr>
              <w:t xml:space="preserve">В ходе круглого стола будут обсуждаться вызовы, которые стоят перед гражданами в связи с быстрым развитием современных технологий. В 21 </w:t>
            </w:r>
            <w:proofErr w:type="gramStart"/>
            <w:r w:rsidRPr="00961A0C">
              <w:rPr>
                <w:rFonts w:ascii="Times New Roman" w:hAnsi="Times New Roman"/>
                <w:i/>
              </w:rPr>
              <w:t>веке</w:t>
            </w:r>
            <w:proofErr w:type="gramEnd"/>
            <w:r w:rsidRPr="00961A0C">
              <w:rPr>
                <w:rFonts w:ascii="Times New Roman" w:hAnsi="Times New Roman"/>
                <w:i/>
              </w:rPr>
              <w:t xml:space="preserve"> использование финансовых инструментов требует высокого уровня финансовой грамотности, который нужно постоянно поддерживать. По </w:t>
            </w:r>
            <w:r w:rsidRPr="00961A0C">
              <w:rPr>
                <w:rFonts w:ascii="Times New Roman" w:hAnsi="Times New Roman"/>
                <w:i/>
              </w:rPr>
              <w:lastRenderedPageBreak/>
              <w:t>данным многих исследований, россияне слабо ориентируются в услугах, предлагаемых финансовыми институтами, что отрицательно сказывается на их возможностях пользоваться финансовыми инструментами. Повышение уровня финансовой грамотности будет способствовать более эффективному управлению личными финансами, поможет гражданам разобраться в сложных процессах современного финансового мира. Кроме того, в ходе круглого стола планируется обсудить вопросы защиты прав граждан, финансовой безопасности и пр</w:t>
            </w:r>
            <w:bookmarkStart w:id="0" w:name="_GoBack"/>
            <w:bookmarkEnd w:id="0"/>
            <w:r w:rsidRPr="00961A0C">
              <w:rPr>
                <w:rFonts w:ascii="Times New Roman" w:hAnsi="Times New Roman"/>
                <w:i/>
              </w:rPr>
              <w:t>отиводействия мошенникам.</w:t>
            </w:r>
          </w:p>
        </w:tc>
      </w:tr>
    </w:tbl>
    <w:p w:rsidR="00A470B5" w:rsidRPr="00793BBC" w:rsidRDefault="00401E01" w:rsidP="00401E01">
      <w:pPr>
        <w:pStyle w:val="af"/>
        <w:rPr>
          <w:rFonts w:ascii="Times New Roman" w:hAnsi="Times New Roman" w:cs="Times New Roman"/>
          <w:i/>
        </w:rPr>
      </w:pPr>
      <w:r w:rsidRPr="00793BBC">
        <w:rPr>
          <w:rFonts w:ascii="Times New Roman" w:hAnsi="Times New Roman" w:cs="Times New Roman"/>
          <w:i/>
        </w:rPr>
        <w:lastRenderedPageBreak/>
        <w:t>*</w:t>
      </w:r>
      <w:r w:rsidR="00793BBC">
        <w:rPr>
          <w:rFonts w:ascii="Times New Roman" w:hAnsi="Times New Roman" w:cs="Times New Roman"/>
          <w:i/>
        </w:rPr>
        <w:t xml:space="preserve"> </w:t>
      </w:r>
      <w:r w:rsidRPr="00793BBC">
        <w:rPr>
          <w:rFonts w:ascii="Times New Roman" w:hAnsi="Times New Roman" w:cs="Times New Roman"/>
          <w:i/>
        </w:rPr>
        <w:t>в программе возможны изменения</w:t>
      </w:r>
    </w:p>
    <w:sectPr w:rsidR="00A470B5" w:rsidRPr="0079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8" w:rsidRDefault="00DB4808" w:rsidP="00A470B5">
      <w:pPr>
        <w:spacing w:after="0" w:line="240" w:lineRule="auto"/>
      </w:pPr>
      <w:r>
        <w:separator/>
      </w:r>
    </w:p>
  </w:endnote>
  <w:endnote w:type="continuationSeparator" w:id="0">
    <w:p w:rsidR="00DB4808" w:rsidRDefault="00DB4808" w:rsidP="00A4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8" w:rsidRDefault="00DB4808" w:rsidP="00A470B5">
      <w:pPr>
        <w:spacing w:after="0" w:line="240" w:lineRule="auto"/>
      </w:pPr>
      <w:r>
        <w:separator/>
      </w:r>
    </w:p>
  </w:footnote>
  <w:footnote w:type="continuationSeparator" w:id="0">
    <w:p w:rsidR="00DB4808" w:rsidRDefault="00DB4808" w:rsidP="00A4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67A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6B1"/>
    <w:multiLevelType w:val="hybridMultilevel"/>
    <w:tmpl w:val="5E9CFF58"/>
    <w:lvl w:ilvl="0" w:tplc="205E2A84"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3C0"/>
    <w:multiLevelType w:val="hybridMultilevel"/>
    <w:tmpl w:val="854C57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20925"/>
    <w:multiLevelType w:val="hybridMultilevel"/>
    <w:tmpl w:val="37CA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0CDE"/>
    <w:multiLevelType w:val="hybridMultilevel"/>
    <w:tmpl w:val="8D069374"/>
    <w:lvl w:ilvl="0" w:tplc="0AA81D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85987"/>
    <w:multiLevelType w:val="hybridMultilevel"/>
    <w:tmpl w:val="7CAE93C0"/>
    <w:lvl w:ilvl="0" w:tplc="1EB66E8C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42390"/>
    <w:multiLevelType w:val="hybridMultilevel"/>
    <w:tmpl w:val="CD14F1D8"/>
    <w:lvl w:ilvl="0" w:tplc="719A87E4">
      <w:numFmt w:val="bullet"/>
      <w:lvlText w:val=""/>
      <w:lvlJc w:val="left"/>
      <w:pPr>
        <w:ind w:left="720" w:hanging="360"/>
      </w:pPr>
      <w:rPr>
        <w:rFonts w:ascii="Symbol" w:eastAsia="MS ??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A20C4"/>
    <w:multiLevelType w:val="hybridMultilevel"/>
    <w:tmpl w:val="6B4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C238C"/>
    <w:multiLevelType w:val="hybridMultilevel"/>
    <w:tmpl w:val="B6F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0D0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EF7C7A"/>
    <w:multiLevelType w:val="hybridMultilevel"/>
    <w:tmpl w:val="517C5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42AB4"/>
    <w:multiLevelType w:val="hybridMultilevel"/>
    <w:tmpl w:val="E554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D4521"/>
    <w:multiLevelType w:val="hybridMultilevel"/>
    <w:tmpl w:val="846E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87E8B"/>
    <w:multiLevelType w:val="hybridMultilevel"/>
    <w:tmpl w:val="D64E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377DB4"/>
    <w:multiLevelType w:val="hybridMultilevel"/>
    <w:tmpl w:val="7A9E9B72"/>
    <w:lvl w:ilvl="0" w:tplc="0AA81D6E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5">
    <w:nsid w:val="3FFC702E"/>
    <w:multiLevelType w:val="hybridMultilevel"/>
    <w:tmpl w:val="B3F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451B4"/>
    <w:multiLevelType w:val="hybridMultilevel"/>
    <w:tmpl w:val="53CE845C"/>
    <w:lvl w:ilvl="0" w:tplc="0AA81D6E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5E506FF3"/>
    <w:multiLevelType w:val="hybridMultilevel"/>
    <w:tmpl w:val="1966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036C1"/>
    <w:multiLevelType w:val="hybridMultilevel"/>
    <w:tmpl w:val="8FA88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DA1833"/>
    <w:multiLevelType w:val="hybridMultilevel"/>
    <w:tmpl w:val="15222480"/>
    <w:lvl w:ilvl="0" w:tplc="0AA81D6E">
      <w:start w:val="1"/>
      <w:numFmt w:val="bullet"/>
      <w:lvlText w:val="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>
    <w:nsid w:val="64112AF8"/>
    <w:multiLevelType w:val="hybridMultilevel"/>
    <w:tmpl w:val="5866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B11D9"/>
    <w:multiLevelType w:val="hybridMultilevel"/>
    <w:tmpl w:val="E3D61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C690C"/>
    <w:multiLevelType w:val="hybridMultilevel"/>
    <w:tmpl w:val="5F4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6249A"/>
    <w:multiLevelType w:val="hybridMultilevel"/>
    <w:tmpl w:val="C9B83894"/>
    <w:lvl w:ilvl="0" w:tplc="259ACCBC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56343"/>
    <w:multiLevelType w:val="hybridMultilevel"/>
    <w:tmpl w:val="748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3"/>
  </w:num>
  <w:num w:numId="6">
    <w:abstractNumId w:val="16"/>
  </w:num>
  <w:num w:numId="7">
    <w:abstractNumId w:val="19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3"/>
  </w:num>
  <w:num w:numId="13">
    <w:abstractNumId w:val="24"/>
  </w:num>
  <w:num w:numId="14">
    <w:abstractNumId w:val="20"/>
  </w:num>
  <w:num w:numId="15">
    <w:abstractNumId w:val="5"/>
  </w:num>
  <w:num w:numId="16">
    <w:abstractNumId w:val="21"/>
  </w:num>
  <w:num w:numId="17">
    <w:abstractNumId w:val="3"/>
  </w:num>
  <w:num w:numId="18">
    <w:abstractNumId w:val="11"/>
  </w:num>
  <w:num w:numId="19">
    <w:abstractNumId w:val="18"/>
  </w:num>
  <w:num w:numId="20">
    <w:abstractNumId w:val="2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7"/>
  </w:num>
  <w:num w:numId="25">
    <w:abstractNumId w:val="10"/>
  </w:num>
  <w:num w:numId="2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ina Shpilyova">
    <w15:presenceInfo w15:providerId="Windows Live" w15:userId="0b56837e30f009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7"/>
    <w:rsid w:val="00026909"/>
    <w:rsid w:val="000C73EA"/>
    <w:rsid w:val="000C7F45"/>
    <w:rsid w:val="001129EF"/>
    <w:rsid w:val="0013337A"/>
    <w:rsid w:val="00170C0D"/>
    <w:rsid w:val="00180246"/>
    <w:rsid w:val="0018256E"/>
    <w:rsid w:val="001A072D"/>
    <w:rsid w:val="001D663B"/>
    <w:rsid w:val="00247C81"/>
    <w:rsid w:val="00275035"/>
    <w:rsid w:val="002C311C"/>
    <w:rsid w:val="002D3212"/>
    <w:rsid w:val="002D3E1B"/>
    <w:rsid w:val="00320DC6"/>
    <w:rsid w:val="00385A4B"/>
    <w:rsid w:val="003D3D0E"/>
    <w:rsid w:val="003F4027"/>
    <w:rsid w:val="00401355"/>
    <w:rsid w:val="00401E01"/>
    <w:rsid w:val="00412061"/>
    <w:rsid w:val="00413A02"/>
    <w:rsid w:val="004A4F63"/>
    <w:rsid w:val="004D3F41"/>
    <w:rsid w:val="004F2592"/>
    <w:rsid w:val="00516CFF"/>
    <w:rsid w:val="00550A1E"/>
    <w:rsid w:val="005E003D"/>
    <w:rsid w:val="00632419"/>
    <w:rsid w:val="0063599D"/>
    <w:rsid w:val="006E7A91"/>
    <w:rsid w:val="00746BFC"/>
    <w:rsid w:val="00771A18"/>
    <w:rsid w:val="007776D6"/>
    <w:rsid w:val="00786ED7"/>
    <w:rsid w:val="00793BBC"/>
    <w:rsid w:val="007A6950"/>
    <w:rsid w:val="007D342A"/>
    <w:rsid w:val="007E3E29"/>
    <w:rsid w:val="0081681E"/>
    <w:rsid w:val="00834F41"/>
    <w:rsid w:val="00847116"/>
    <w:rsid w:val="00881535"/>
    <w:rsid w:val="0089355F"/>
    <w:rsid w:val="008D4FE3"/>
    <w:rsid w:val="0093025D"/>
    <w:rsid w:val="00941780"/>
    <w:rsid w:val="00961A0C"/>
    <w:rsid w:val="009A6CA4"/>
    <w:rsid w:val="009F293A"/>
    <w:rsid w:val="00A470B5"/>
    <w:rsid w:val="00B427F8"/>
    <w:rsid w:val="00B95402"/>
    <w:rsid w:val="00BA65DE"/>
    <w:rsid w:val="00BE49E3"/>
    <w:rsid w:val="00BF0C61"/>
    <w:rsid w:val="00C3747D"/>
    <w:rsid w:val="00C41F71"/>
    <w:rsid w:val="00C904DB"/>
    <w:rsid w:val="00C91F61"/>
    <w:rsid w:val="00CA6ED3"/>
    <w:rsid w:val="00CE24DC"/>
    <w:rsid w:val="00D46C2F"/>
    <w:rsid w:val="00D47821"/>
    <w:rsid w:val="00D94374"/>
    <w:rsid w:val="00DA1283"/>
    <w:rsid w:val="00DB4808"/>
    <w:rsid w:val="00E0036D"/>
    <w:rsid w:val="00E07CDF"/>
    <w:rsid w:val="00E46D19"/>
    <w:rsid w:val="00E77851"/>
    <w:rsid w:val="00EA4C6C"/>
    <w:rsid w:val="00EC54D8"/>
    <w:rsid w:val="00F56652"/>
    <w:rsid w:val="00F87B8C"/>
    <w:rsid w:val="00FA1445"/>
    <w:rsid w:val="00FB2A2C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65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70B5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470B5"/>
    <w:pPr>
      <w:tabs>
        <w:tab w:val="center" w:pos="4844"/>
        <w:tab w:val="right" w:pos="9689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A470B5"/>
    <w:rPr>
      <w:rFonts w:ascii="Cambria" w:eastAsia="MS ??" w:hAnsi="Cambria" w:cs="Times New Roman"/>
      <w:sz w:val="24"/>
      <w:szCs w:val="24"/>
      <w:lang w:val="en-US" w:eastAsia="ru-RU"/>
    </w:rPr>
  </w:style>
  <w:style w:type="character" w:styleId="a8">
    <w:name w:val="page number"/>
    <w:semiHidden/>
    <w:rsid w:val="00A470B5"/>
    <w:rPr>
      <w:rFonts w:cs="Times New Roman"/>
    </w:rPr>
  </w:style>
  <w:style w:type="paragraph" w:styleId="a9">
    <w:name w:val="header"/>
    <w:basedOn w:val="a"/>
    <w:link w:val="aa"/>
    <w:uiPriority w:val="99"/>
    <w:rsid w:val="00A470B5"/>
    <w:pPr>
      <w:tabs>
        <w:tab w:val="center" w:pos="4844"/>
        <w:tab w:val="right" w:pos="9689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470B5"/>
    <w:rPr>
      <w:rFonts w:ascii="Cambria" w:eastAsia="MS ??" w:hAnsi="Cambria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A470B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  <w:lang w:val="en-US" w:eastAsia="ru-RU"/>
    </w:rPr>
  </w:style>
  <w:style w:type="paragraph" w:customStyle="1" w:styleId="ab">
    <w:name w:val="a"/>
    <w:basedOn w:val="a"/>
    <w:rsid w:val="00A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470B5"/>
    <w:rPr>
      <w:color w:val="0000FF"/>
      <w:u w:val="single"/>
    </w:rPr>
  </w:style>
  <w:style w:type="paragraph" w:customStyle="1" w:styleId="2-11">
    <w:name w:val="Средняя сетка 2 - Акцент 11"/>
    <w:link w:val="2-1"/>
    <w:uiPriority w:val="1"/>
    <w:qFormat/>
    <w:rsid w:val="00A47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-1">
    <w:name w:val="Средняя сетка 2 - Акцент 1 Знак"/>
    <w:link w:val="2-11"/>
    <w:uiPriority w:val="1"/>
    <w:rsid w:val="00A470B5"/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A470B5"/>
    <w:rPr>
      <w:b/>
      <w:bCs/>
    </w:rPr>
  </w:style>
  <w:style w:type="paragraph" w:customStyle="1" w:styleId="s7">
    <w:name w:val="s7"/>
    <w:basedOn w:val="a"/>
    <w:rsid w:val="00A470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A470B5"/>
  </w:style>
  <w:style w:type="paragraph" w:styleId="ae">
    <w:name w:val="Normal (Web)"/>
    <w:basedOn w:val="a"/>
    <w:uiPriority w:val="99"/>
    <w:unhideWhenUsed/>
    <w:rsid w:val="00A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70B5"/>
    <w:pPr>
      <w:ind w:left="720"/>
      <w:contextualSpacing/>
    </w:pPr>
    <w:rPr>
      <w:rFonts w:ascii="Calibri" w:eastAsia="Calibri" w:hAnsi="Calibri" w:cs="Calibri"/>
    </w:rPr>
  </w:style>
  <w:style w:type="paragraph" w:styleId="af0">
    <w:name w:val="Plain Text"/>
    <w:basedOn w:val="a"/>
    <w:link w:val="af1"/>
    <w:rsid w:val="00A470B5"/>
    <w:pPr>
      <w:spacing w:after="0" w:line="240" w:lineRule="auto"/>
    </w:pPr>
    <w:rPr>
      <w:rFonts w:ascii="Consolas" w:eastAsia="MS ??" w:hAnsi="Consolas" w:cs="Consolas"/>
      <w:sz w:val="21"/>
      <w:szCs w:val="21"/>
      <w:lang w:val="en-US" w:eastAsia="ru-RU"/>
    </w:rPr>
  </w:style>
  <w:style w:type="character" w:customStyle="1" w:styleId="af1">
    <w:name w:val="Текст Знак"/>
    <w:basedOn w:val="a0"/>
    <w:link w:val="af0"/>
    <w:rsid w:val="00A470B5"/>
    <w:rPr>
      <w:rFonts w:ascii="Consolas" w:eastAsia="MS ??" w:hAnsi="Consolas" w:cs="Consolas"/>
      <w:sz w:val="21"/>
      <w:szCs w:val="21"/>
      <w:lang w:val="en-US" w:eastAsia="ru-RU"/>
    </w:rPr>
  </w:style>
  <w:style w:type="paragraph" w:customStyle="1" w:styleId="Default">
    <w:name w:val="Default"/>
    <w:rsid w:val="00A470B5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rsid w:val="00A470B5"/>
    <w:pPr>
      <w:spacing w:after="0" w:line="240" w:lineRule="auto"/>
    </w:pPr>
    <w:rPr>
      <w:rFonts w:ascii="Cambria" w:eastAsia="MS ??" w:hAnsi="Cambria" w:cs="Times New Roman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rsid w:val="00A470B5"/>
    <w:rPr>
      <w:rFonts w:ascii="Cambria" w:eastAsia="MS ??" w:hAnsi="Cambria" w:cs="Times New Roman"/>
      <w:sz w:val="20"/>
      <w:szCs w:val="20"/>
      <w:lang w:val="en-US" w:eastAsia="ru-RU"/>
    </w:rPr>
  </w:style>
  <w:style w:type="character" w:styleId="af4">
    <w:name w:val="footnote reference"/>
    <w:basedOn w:val="a0"/>
    <w:rsid w:val="00A470B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D4782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4782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4782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782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78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A65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70B5"/>
    <w:pPr>
      <w:spacing w:after="0" w:line="240" w:lineRule="auto"/>
    </w:pPr>
    <w:rPr>
      <w:rFonts w:ascii="Cambria" w:eastAsia="MS ??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470B5"/>
    <w:pPr>
      <w:tabs>
        <w:tab w:val="center" w:pos="4844"/>
        <w:tab w:val="right" w:pos="9689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A470B5"/>
    <w:rPr>
      <w:rFonts w:ascii="Cambria" w:eastAsia="MS ??" w:hAnsi="Cambria" w:cs="Times New Roman"/>
      <w:sz w:val="24"/>
      <w:szCs w:val="24"/>
      <w:lang w:val="en-US" w:eastAsia="ru-RU"/>
    </w:rPr>
  </w:style>
  <w:style w:type="character" w:styleId="a8">
    <w:name w:val="page number"/>
    <w:semiHidden/>
    <w:rsid w:val="00A470B5"/>
    <w:rPr>
      <w:rFonts w:cs="Times New Roman"/>
    </w:rPr>
  </w:style>
  <w:style w:type="paragraph" w:styleId="a9">
    <w:name w:val="header"/>
    <w:basedOn w:val="a"/>
    <w:link w:val="aa"/>
    <w:uiPriority w:val="99"/>
    <w:rsid w:val="00A470B5"/>
    <w:pPr>
      <w:tabs>
        <w:tab w:val="center" w:pos="4844"/>
        <w:tab w:val="right" w:pos="9689"/>
      </w:tabs>
      <w:spacing w:after="0" w:line="240" w:lineRule="auto"/>
    </w:pPr>
    <w:rPr>
      <w:rFonts w:ascii="Cambria" w:eastAsia="MS ??" w:hAnsi="Cambria" w:cs="Times New Roman"/>
      <w:sz w:val="24"/>
      <w:szCs w:val="24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470B5"/>
    <w:rPr>
      <w:rFonts w:ascii="Cambria" w:eastAsia="MS ??" w:hAnsi="Cambria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A470B5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  <w:lang w:val="en-US" w:eastAsia="ru-RU"/>
    </w:rPr>
  </w:style>
  <w:style w:type="paragraph" w:customStyle="1" w:styleId="ab">
    <w:name w:val="a"/>
    <w:basedOn w:val="a"/>
    <w:rsid w:val="00A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A470B5"/>
    <w:rPr>
      <w:color w:val="0000FF"/>
      <w:u w:val="single"/>
    </w:rPr>
  </w:style>
  <w:style w:type="paragraph" w:customStyle="1" w:styleId="2-11">
    <w:name w:val="Средняя сетка 2 - Акцент 11"/>
    <w:link w:val="2-1"/>
    <w:uiPriority w:val="1"/>
    <w:qFormat/>
    <w:rsid w:val="00A47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-1">
    <w:name w:val="Средняя сетка 2 - Акцент 1 Знак"/>
    <w:link w:val="2-11"/>
    <w:uiPriority w:val="1"/>
    <w:rsid w:val="00A470B5"/>
    <w:rPr>
      <w:rFonts w:ascii="Calibri" w:eastAsia="Times New Roman" w:hAnsi="Calibri" w:cs="Times New Roman"/>
    </w:rPr>
  </w:style>
  <w:style w:type="character" w:styleId="ad">
    <w:name w:val="Strong"/>
    <w:uiPriority w:val="22"/>
    <w:qFormat/>
    <w:rsid w:val="00A470B5"/>
    <w:rPr>
      <w:b/>
      <w:bCs/>
    </w:rPr>
  </w:style>
  <w:style w:type="paragraph" w:customStyle="1" w:styleId="s7">
    <w:name w:val="s7"/>
    <w:basedOn w:val="a"/>
    <w:rsid w:val="00A470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A470B5"/>
  </w:style>
  <w:style w:type="paragraph" w:styleId="ae">
    <w:name w:val="Normal (Web)"/>
    <w:basedOn w:val="a"/>
    <w:uiPriority w:val="99"/>
    <w:unhideWhenUsed/>
    <w:rsid w:val="00A4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470B5"/>
    <w:pPr>
      <w:ind w:left="720"/>
      <w:contextualSpacing/>
    </w:pPr>
    <w:rPr>
      <w:rFonts w:ascii="Calibri" w:eastAsia="Calibri" w:hAnsi="Calibri" w:cs="Calibri"/>
    </w:rPr>
  </w:style>
  <w:style w:type="paragraph" w:styleId="af0">
    <w:name w:val="Plain Text"/>
    <w:basedOn w:val="a"/>
    <w:link w:val="af1"/>
    <w:rsid w:val="00A470B5"/>
    <w:pPr>
      <w:spacing w:after="0" w:line="240" w:lineRule="auto"/>
    </w:pPr>
    <w:rPr>
      <w:rFonts w:ascii="Consolas" w:eastAsia="MS ??" w:hAnsi="Consolas" w:cs="Consolas"/>
      <w:sz w:val="21"/>
      <w:szCs w:val="21"/>
      <w:lang w:val="en-US" w:eastAsia="ru-RU"/>
    </w:rPr>
  </w:style>
  <w:style w:type="character" w:customStyle="1" w:styleId="af1">
    <w:name w:val="Текст Знак"/>
    <w:basedOn w:val="a0"/>
    <w:link w:val="af0"/>
    <w:rsid w:val="00A470B5"/>
    <w:rPr>
      <w:rFonts w:ascii="Consolas" w:eastAsia="MS ??" w:hAnsi="Consolas" w:cs="Consolas"/>
      <w:sz w:val="21"/>
      <w:szCs w:val="21"/>
      <w:lang w:val="en-US" w:eastAsia="ru-RU"/>
    </w:rPr>
  </w:style>
  <w:style w:type="paragraph" w:customStyle="1" w:styleId="Default">
    <w:name w:val="Default"/>
    <w:rsid w:val="00A470B5"/>
    <w:pPr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eastAsia="ru-RU"/>
    </w:rPr>
  </w:style>
  <w:style w:type="paragraph" w:styleId="af2">
    <w:name w:val="footnote text"/>
    <w:basedOn w:val="a"/>
    <w:link w:val="af3"/>
    <w:rsid w:val="00A470B5"/>
    <w:pPr>
      <w:spacing w:after="0" w:line="240" w:lineRule="auto"/>
    </w:pPr>
    <w:rPr>
      <w:rFonts w:ascii="Cambria" w:eastAsia="MS ??" w:hAnsi="Cambria" w:cs="Times New Roman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rsid w:val="00A470B5"/>
    <w:rPr>
      <w:rFonts w:ascii="Cambria" w:eastAsia="MS ??" w:hAnsi="Cambria" w:cs="Times New Roman"/>
      <w:sz w:val="20"/>
      <w:szCs w:val="20"/>
      <w:lang w:val="en-US" w:eastAsia="ru-RU"/>
    </w:rPr>
  </w:style>
  <w:style w:type="character" w:styleId="af4">
    <w:name w:val="footnote reference"/>
    <w:basedOn w:val="a0"/>
    <w:rsid w:val="00A470B5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D4782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4782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4782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4782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478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FA7B-C639-41D6-9262-77CA02A8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Талыбов Азер</dc:creator>
  <cp:lastModifiedBy>Зубарев Дмитрий</cp:lastModifiedBy>
  <cp:revision>5</cp:revision>
  <cp:lastPrinted>2016-02-18T07:26:00Z</cp:lastPrinted>
  <dcterms:created xsi:type="dcterms:W3CDTF">2016-03-04T11:10:00Z</dcterms:created>
  <dcterms:modified xsi:type="dcterms:W3CDTF">2016-03-14T08:53:00Z</dcterms:modified>
</cp:coreProperties>
</file>