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F0" w:rsidRPr="00161DBD" w:rsidRDefault="00623823" w:rsidP="001B4DF0">
      <w:pPr>
        <w:ind w:left="-284" w:right="-285" w:firstLine="141"/>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82.85pt;margin-top:-1.45pt;width:413.5pt;height:98.25pt;z-index:251658240" stroked="f">
            <v:textbox style="mso-next-textbox:#_x0000_s1026">
              <w:txbxContent>
                <w:p w:rsidR="00055B56" w:rsidRPr="00EC1C7E" w:rsidRDefault="00055B56" w:rsidP="001B4DF0">
                  <w:pPr>
                    <w:tabs>
                      <w:tab w:val="left" w:pos="7938"/>
                    </w:tabs>
                    <w:adjustRightInd w:val="0"/>
                    <w:ind w:left="0" w:right="174" w:firstLine="0"/>
                    <w:jc w:val="center"/>
                    <w:rPr>
                      <w:b/>
                      <w:bCs/>
                      <w:sz w:val="26"/>
                      <w:szCs w:val="26"/>
                    </w:rPr>
                  </w:pPr>
                  <w:r>
                    <w:rPr>
                      <w:b/>
                      <w:sz w:val="26"/>
                      <w:szCs w:val="26"/>
                    </w:rPr>
                    <w:t>Ответы, предоставленные</w:t>
                  </w:r>
                  <w:r w:rsidRPr="00EC1C7E">
                    <w:rPr>
                      <w:b/>
                      <w:sz w:val="26"/>
                      <w:szCs w:val="26"/>
                    </w:rPr>
                    <w:t xml:space="preserve"> </w:t>
                  </w:r>
                  <w:r>
                    <w:rPr>
                      <w:b/>
                      <w:sz w:val="26"/>
                      <w:szCs w:val="26"/>
                    </w:rPr>
                    <w:t>Департаментом банковского регулирования Банка</w:t>
                  </w:r>
                  <w:r w:rsidRPr="00BA3DBD">
                    <w:rPr>
                      <w:b/>
                      <w:sz w:val="26"/>
                      <w:szCs w:val="26"/>
                    </w:rPr>
                    <w:t xml:space="preserve"> России</w:t>
                  </w:r>
                  <w:r>
                    <w:rPr>
                      <w:b/>
                      <w:sz w:val="26"/>
                      <w:szCs w:val="26"/>
                    </w:rPr>
                    <w:t>,</w:t>
                  </w:r>
                  <w:r w:rsidRPr="00BA3DBD">
                    <w:rPr>
                      <w:b/>
                      <w:sz w:val="26"/>
                      <w:szCs w:val="26"/>
                    </w:rPr>
                    <w:t xml:space="preserve"> </w:t>
                  </w:r>
                  <w:r w:rsidRPr="00EC1C7E">
                    <w:rPr>
                      <w:b/>
                      <w:sz w:val="26"/>
                      <w:szCs w:val="26"/>
                    </w:rPr>
                    <w:t>на вопрос</w:t>
                  </w:r>
                  <w:r>
                    <w:rPr>
                      <w:b/>
                      <w:sz w:val="26"/>
                      <w:szCs w:val="26"/>
                    </w:rPr>
                    <w:t>ы,</w:t>
                  </w:r>
                  <w:r w:rsidRPr="00EC1C7E">
                    <w:rPr>
                      <w:b/>
                      <w:sz w:val="26"/>
                      <w:szCs w:val="26"/>
                    </w:rPr>
                    <w:t xml:space="preserve"> </w:t>
                  </w:r>
                  <w:r w:rsidRPr="00EC1C7E">
                    <w:rPr>
                      <w:b/>
                      <w:bCs/>
                      <w:sz w:val="26"/>
                      <w:szCs w:val="26"/>
                    </w:rPr>
                    <w:t>поступивши</w:t>
                  </w:r>
                  <w:r>
                    <w:rPr>
                      <w:b/>
                      <w:bCs/>
                      <w:sz w:val="26"/>
                      <w:szCs w:val="26"/>
                    </w:rPr>
                    <w:t>е</w:t>
                  </w:r>
                  <w:r w:rsidRPr="00EC1C7E">
                    <w:rPr>
                      <w:b/>
                      <w:bCs/>
                      <w:sz w:val="26"/>
                      <w:szCs w:val="26"/>
                    </w:rPr>
                    <w:t xml:space="preserve"> в Оргкомитет от участнико</w:t>
                  </w:r>
                  <w:proofErr w:type="gramStart"/>
                  <w:r w:rsidRPr="00EC1C7E">
                    <w:rPr>
                      <w:b/>
                      <w:bCs/>
                      <w:sz w:val="26"/>
                      <w:szCs w:val="26"/>
                    </w:rPr>
                    <w:t xml:space="preserve">в к </w:t>
                  </w:r>
                  <w:r w:rsidRPr="00EC1C7E">
                    <w:rPr>
                      <w:b/>
                      <w:sz w:val="26"/>
                      <w:szCs w:val="26"/>
                    </w:rPr>
                    <w:t>встр</w:t>
                  </w:r>
                  <w:proofErr w:type="gramEnd"/>
                  <w:r w:rsidRPr="00EC1C7E">
                    <w:rPr>
                      <w:b/>
                      <w:sz w:val="26"/>
                      <w:szCs w:val="26"/>
                    </w:rPr>
                    <w:t xml:space="preserve">ече </w:t>
                  </w:r>
                  <w:r w:rsidRPr="00EC1C7E">
                    <w:rPr>
                      <w:b/>
                      <w:bCs/>
                      <w:sz w:val="26"/>
                      <w:szCs w:val="26"/>
                    </w:rPr>
                    <w:t>руководителей Банка России</w:t>
                  </w:r>
                  <w:r w:rsidRPr="00EC1C7E">
                    <w:rPr>
                      <w:b/>
                      <w:sz w:val="26"/>
                      <w:szCs w:val="26"/>
                    </w:rPr>
                    <w:t xml:space="preserve"> </w:t>
                  </w:r>
                  <w:r w:rsidRPr="00EC1C7E">
                    <w:rPr>
                      <w:b/>
                      <w:bCs/>
                      <w:sz w:val="26"/>
                      <w:szCs w:val="26"/>
                    </w:rPr>
                    <w:t>с руководителями коммерческих банков 1</w:t>
                  </w:r>
                  <w:r>
                    <w:rPr>
                      <w:b/>
                      <w:bCs/>
                      <w:sz w:val="26"/>
                      <w:szCs w:val="26"/>
                    </w:rPr>
                    <w:t>1</w:t>
                  </w:r>
                  <w:r w:rsidRPr="00EC1C7E">
                    <w:rPr>
                      <w:b/>
                      <w:bCs/>
                      <w:sz w:val="26"/>
                      <w:szCs w:val="26"/>
                    </w:rPr>
                    <w:t xml:space="preserve"> - 1</w:t>
                  </w:r>
                  <w:r>
                    <w:rPr>
                      <w:b/>
                      <w:bCs/>
                      <w:sz w:val="26"/>
                      <w:szCs w:val="26"/>
                    </w:rPr>
                    <w:t>2</w:t>
                  </w:r>
                  <w:r w:rsidRPr="00EC1C7E">
                    <w:rPr>
                      <w:b/>
                      <w:bCs/>
                      <w:sz w:val="26"/>
                      <w:szCs w:val="26"/>
                    </w:rPr>
                    <w:t xml:space="preserve"> февраля 201</w:t>
                  </w:r>
                  <w:r>
                    <w:rPr>
                      <w:b/>
                      <w:bCs/>
                      <w:sz w:val="26"/>
                      <w:szCs w:val="26"/>
                    </w:rPr>
                    <w:t>6</w:t>
                  </w:r>
                  <w:r w:rsidRPr="00EC1C7E">
                    <w:rPr>
                      <w:b/>
                      <w:bCs/>
                      <w:sz w:val="26"/>
                      <w:szCs w:val="26"/>
                    </w:rPr>
                    <w:t>г. в ОПК «БОР»</w:t>
                  </w:r>
                </w:p>
              </w:txbxContent>
            </v:textbox>
          </v:shape>
        </w:pict>
      </w:r>
      <w:r w:rsidR="001B4DF0">
        <w:rPr>
          <w:noProof/>
          <w:lang w:eastAsia="ru-RU"/>
        </w:rPr>
        <w:drawing>
          <wp:inline distT="0" distB="0" distL="0" distR="0">
            <wp:extent cx="1190625" cy="1133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90625" cy="1133475"/>
                    </a:xfrm>
                    <a:prstGeom prst="rect">
                      <a:avLst/>
                    </a:prstGeom>
                    <a:noFill/>
                    <a:ln w="9525">
                      <a:noFill/>
                      <a:miter lim="800000"/>
                      <a:headEnd/>
                      <a:tailEnd/>
                    </a:ln>
                  </pic:spPr>
                </pic:pic>
              </a:graphicData>
            </a:graphic>
          </wp:inline>
        </w:drawing>
      </w:r>
    </w:p>
    <w:p w:rsidR="008C6C00" w:rsidRDefault="008C6C00" w:rsidP="008C6C00">
      <w:pPr>
        <w:shd w:val="clear" w:color="auto" w:fill="FFFFFF"/>
        <w:spacing w:before="250"/>
        <w:ind w:left="504"/>
      </w:pPr>
      <w:r>
        <w:rPr>
          <w:rFonts w:eastAsia="Times New Roman" w:cs="Times New Roman"/>
          <w:i/>
          <w:iCs/>
          <w:sz w:val="28"/>
          <w:szCs w:val="28"/>
          <w:u w:val="single"/>
        </w:rPr>
        <w:t xml:space="preserve">Раздел </w:t>
      </w:r>
      <w:r>
        <w:rPr>
          <w:rFonts w:eastAsia="Times New Roman" w:cs="Times New Roman"/>
          <w:i/>
          <w:iCs/>
          <w:sz w:val="28"/>
          <w:szCs w:val="28"/>
          <w:u w:val="single"/>
          <w:lang w:val="en-US"/>
        </w:rPr>
        <w:t>VI</w:t>
      </w:r>
      <w:r w:rsidRPr="00396803">
        <w:rPr>
          <w:rFonts w:eastAsia="Times New Roman" w:cs="Times New Roman"/>
          <w:i/>
          <w:iCs/>
          <w:sz w:val="28"/>
          <w:szCs w:val="28"/>
          <w:u w:val="single"/>
        </w:rPr>
        <w:t xml:space="preserve">: </w:t>
      </w:r>
      <w:r>
        <w:rPr>
          <w:rFonts w:eastAsia="Times New Roman" w:cs="Times New Roman"/>
          <w:i/>
          <w:iCs/>
          <w:sz w:val="28"/>
          <w:szCs w:val="28"/>
          <w:u w:val="single"/>
        </w:rPr>
        <w:t>Вопросы и предложения, касающиеся управления рисками</w:t>
      </w:r>
    </w:p>
    <w:p w:rsidR="008C6C00" w:rsidRPr="00604B89" w:rsidRDefault="008C6C00" w:rsidP="008C6C00">
      <w:pPr>
        <w:shd w:val="clear" w:color="auto" w:fill="FFFFFF"/>
        <w:spacing w:after="0"/>
        <w:ind w:left="24" w:right="5" w:firstLine="706"/>
        <w:rPr>
          <w:rFonts w:eastAsia="Times New Roman" w:cs="Times New Roman"/>
          <w:b/>
          <w:bCs/>
          <w:sz w:val="26"/>
          <w:szCs w:val="26"/>
        </w:rPr>
      </w:pPr>
      <w:r w:rsidRPr="00604B89">
        <w:rPr>
          <w:rFonts w:eastAsia="Times New Roman" w:cs="Times New Roman"/>
          <w:b/>
          <w:bCs/>
          <w:sz w:val="26"/>
          <w:szCs w:val="26"/>
        </w:rPr>
        <w:t>1. Вопросы управления правовым риском:</w:t>
      </w:r>
    </w:p>
    <w:p w:rsidR="008C6C00" w:rsidRPr="00604B89" w:rsidRDefault="008C6C00" w:rsidP="008C6C00">
      <w:pPr>
        <w:shd w:val="clear" w:color="auto" w:fill="FFFFFF"/>
        <w:spacing w:after="0"/>
        <w:ind w:left="24" w:right="5" w:firstLine="706"/>
        <w:rPr>
          <w:rFonts w:eastAsia="Times New Roman" w:cs="Times New Roman"/>
          <w:b/>
          <w:bCs/>
          <w:sz w:val="26"/>
          <w:szCs w:val="26"/>
        </w:rPr>
      </w:pPr>
      <w:r w:rsidRPr="00604B89">
        <w:rPr>
          <w:rFonts w:eastAsia="Times New Roman" w:cs="Times New Roman"/>
          <w:b/>
          <w:bCs/>
          <w:sz w:val="26"/>
          <w:szCs w:val="26"/>
        </w:rPr>
        <w:t>1.1. Правомерно ли считать, что управление правовым риском в рамках Письма 92-Т продолжает применяться в части, где не противоречит Указанию Банка России от 15.04.2015г. № 3624-У «О требованиях к системе управления рисками и капиталом кредитной организации и банковской группы» (далее - Указание № 3624-У)?</w:t>
      </w:r>
    </w:p>
    <w:p w:rsidR="008C6C00" w:rsidRPr="00604B89"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604B89">
        <w:rPr>
          <w:rFonts w:eastAsia="Times New Roman" w:cs="Times New Roman"/>
          <w:sz w:val="26"/>
          <w:szCs w:val="26"/>
        </w:rPr>
        <w:t>Кредитная организация при организации процедур управления правовым риском вправе руководствоваться положениями Письма Банка России № 92-Т в части, не противоречащей Указанию Банка России № 3624-У.</w:t>
      </w:r>
    </w:p>
    <w:p w:rsidR="008C6C00" w:rsidRPr="004E32ED" w:rsidRDefault="008C6C00" w:rsidP="008C6C00">
      <w:pPr>
        <w:shd w:val="clear" w:color="auto" w:fill="FFFFFF"/>
        <w:spacing w:after="0"/>
        <w:ind w:left="24" w:right="5" w:firstLine="706"/>
        <w:rPr>
          <w:rFonts w:eastAsia="Times New Roman" w:cs="Times New Roman"/>
          <w:b/>
          <w:bCs/>
          <w:sz w:val="26"/>
          <w:szCs w:val="26"/>
        </w:rPr>
      </w:pPr>
      <w:r w:rsidRPr="004E32ED">
        <w:rPr>
          <w:rFonts w:eastAsia="Times New Roman" w:cs="Times New Roman"/>
          <w:b/>
          <w:bCs/>
          <w:sz w:val="26"/>
          <w:szCs w:val="26"/>
        </w:rPr>
        <w:t>1.2.</w:t>
      </w:r>
      <w:r w:rsidRPr="0014296A">
        <w:rPr>
          <w:rFonts w:eastAsia="Times New Roman" w:cs="Times New Roman"/>
          <w:b/>
          <w:bCs/>
          <w:sz w:val="26"/>
          <w:szCs w:val="26"/>
        </w:rPr>
        <w:t xml:space="preserve"> </w:t>
      </w:r>
      <w:r w:rsidRPr="004E32ED">
        <w:rPr>
          <w:rFonts w:eastAsia="Times New Roman" w:cs="Times New Roman"/>
          <w:b/>
          <w:bCs/>
          <w:sz w:val="26"/>
          <w:szCs w:val="26"/>
        </w:rPr>
        <w:t>Правовой ри</w:t>
      </w:r>
      <w:proofErr w:type="gramStart"/>
      <w:r w:rsidRPr="004E32ED">
        <w:rPr>
          <w:rFonts w:eastAsia="Times New Roman" w:cs="Times New Roman"/>
          <w:b/>
          <w:bCs/>
          <w:sz w:val="26"/>
          <w:szCs w:val="26"/>
        </w:rPr>
        <w:t>ск вкл</w:t>
      </w:r>
      <w:proofErr w:type="gramEnd"/>
      <w:r w:rsidRPr="004E32ED">
        <w:rPr>
          <w:rFonts w:eastAsia="Times New Roman" w:cs="Times New Roman"/>
          <w:b/>
          <w:bCs/>
          <w:sz w:val="26"/>
          <w:szCs w:val="26"/>
        </w:rPr>
        <w:t xml:space="preserve">ючает в себя риск возникновения у банка убытков в результате нарушения контрагентами своих обязательств. Относится ли к правовому риску случай нарушения контрагентом своих обязательств по причине реализации кредитного риска (например, из-за плохого финансового положения контрагента)? Если этот случай относится к правовому риску, </w:t>
      </w:r>
      <w:proofErr w:type="gramStart"/>
      <w:r w:rsidRPr="004E32ED">
        <w:rPr>
          <w:rFonts w:eastAsia="Times New Roman" w:cs="Times New Roman"/>
          <w:b/>
          <w:bCs/>
          <w:sz w:val="26"/>
          <w:szCs w:val="26"/>
        </w:rPr>
        <w:t>то</w:t>
      </w:r>
      <w:proofErr w:type="gramEnd"/>
      <w:r w:rsidRPr="004E32ED">
        <w:rPr>
          <w:rFonts w:eastAsia="Times New Roman" w:cs="Times New Roman"/>
          <w:b/>
          <w:bCs/>
          <w:sz w:val="26"/>
          <w:szCs w:val="26"/>
        </w:rPr>
        <w:t xml:space="preserve"> как быть с условием, что правовой риск является частью операционного риска, ведь данный случай не является событием операционного риска? Предлагаем исключить случай нарушения контрагентом своих обязательств по причине реализации кредитного риска не относить к событиям операционного риска.</w:t>
      </w:r>
    </w:p>
    <w:p w:rsidR="008C6C00" w:rsidRPr="004E32ED"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4E32ED">
        <w:rPr>
          <w:rFonts w:eastAsia="Times New Roman" w:cs="Times New Roman"/>
          <w:sz w:val="26"/>
          <w:szCs w:val="26"/>
        </w:rPr>
        <w:t>Поскольку неисполнение либо ненадлежащее исполнение заемщиком обязательств по ссуде перед кредитной организацией вызвано реализацией кредитного риска, такое нарушение может не относиться к правовому риску.</w:t>
      </w:r>
    </w:p>
    <w:p w:rsidR="008C6C00" w:rsidRPr="004E32ED" w:rsidRDefault="008C6C00" w:rsidP="008C6C00">
      <w:pPr>
        <w:shd w:val="clear" w:color="auto" w:fill="FFFFFF"/>
        <w:spacing w:after="0"/>
        <w:ind w:left="0" w:right="10" w:firstLine="538"/>
        <w:rPr>
          <w:rFonts w:eastAsia="Times New Roman" w:cs="Times New Roman"/>
          <w:sz w:val="26"/>
          <w:szCs w:val="26"/>
        </w:rPr>
      </w:pPr>
      <w:r w:rsidRPr="004E32ED">
        <w:rPr>
          <w:rFonts w:eastAsia="Times New Roman" w:cs="Times New Roman"/>
          <w:sz w:val="26"/>
          <w:szCs w:val="26"/>
        </w:rPr>
        <w:t xml:space="preserve">Вместе с тем следует учитывать, что одно и то же событие риска может в отдельных случаях быть обусловлено реализацией различных видов банковских рисков. В связи с этим письмом № 92-Т в целях выявления и оценки правового риска кредитной организации рекомендуется во внутренних документах самостоятельно определить отличительные признаки правового риска от иных банковских рисков, в том числе отличие кредитного риска </w:t>
      </w:r>
      <w:proofErr w:type="gramStart"/>
      <w:r w:rsidRPr="004E32ED">
        <w:rPr>
          <w:rFonts w:eastAsia="Times New Roman" w:cs="Times New Roman"/>
          <w:sz w:val="26"/>
          <w:szCs w:val="26"/>
        </w:rPr>
        <w:t>от</w:t>
      </w:r>
      <w:proofErr w:type="gramEnd"/>
      <w:r w:rsidRPr="004E32ED">
        <w:rPr>
          <w:rFonts w:eastAsia="Times New Roman" w:cs="Times New Roman"/>
          <w:sz w:val="26"/>
          <w:szCs w:val="26"/>
        </w:rPr>
        <w:t xml:space="preserve"> правового.</w:t>
      </w:r>
    </w:p>
    <w:p w:rsidR="008C6C00" w:rsidRPr="0014296A" w:rsidRDefault="008C6C00" w:rsidP="008C6C00">
      <w:pPr>
        <w:shd w:val="clear" w:color="auto" w:fill="FFFFFF"/>
        <w:spacing w:after="0"/>
        <w:ind w:left="24" w:right="5" w:firstLine="706"/>
        <w:rPr>
          <w:rFonts w:eastAsia="Times New Roman" w:cs="Times New Roman"/>
          <w:b/>
          <w:bCs/>
          <w:sz w:val="26"/>
          <w:szCs w:val="26"/>
        </w:rPr>
      </w:pPr>
      <w:r w:rsidRPr="0014296A">
        <w:rPr>
          <w:rFonts w:eastAsia="Times New Roman" w:cs="Times New Roman"/>
          <w:b/>
          <w:bCs/>
          <w:sz w:val="26"/>
          <w:szCs w:val="26"/>
        </w:rPr>
        <w:t xml:space="preserve">1.3. В соответствии с изменениями в Указание № 3624-У, из определения правового риска удалили риск несоблюдения банком законодательства РФ и риск несоответствия внутренних документов банка законодательству РФ. Теперь они входят только в определение регуляторного риска, тогда как </w:t>
      </w:r>
      <w:r w:rsidRPr="0014296A">
        <w:rPr>
          <w:rFonts w:eastAsia="Times New Roman" w:cs="Times New Roman"/>
          <w:b/>
          <w:bCs/>
          <w:sz w:val="26"/>
          <w:szCs w:val="26"/>
        </w:rPr>
        <w:lastRenderedPageBreak/>
        <w:t xml:space="preserve">раньше они входили в определения как регуляторного, так и правового риска. </w:t>
      </w:r>
      <w:proofErr w:type="gramStart"/>
      <w:r w:rsidRPr="0014296A">
        <w:rPr>
          <w:rFonts w:eastAsia="Times New Roman" w:cs="Times New Roman"/>
          <w:b/>
          <w:bCs/>
          <w:sz w:val="26"/>
          <w:szCs w:val="26"/>
        </w:rPr>
        <w:t>Однако в соответствии с классификацией категорий операционного риска (п.1.3.</w:t>
      </w:r>
      <w:proofErr w:type="gramEnd"/>
      <w:r w:rsidRPr="0014296A">
        <w:rPr>
          <w:rFonts w:eastAsia="Times New Roman" w:cs="Times New Roman"/>
          <w:b/>
          <w:bCs/>
          <w:sz w:val="26"/>
          <w:szCs w:val="26"/>
        </w:rPr>
        <w:t xml:space="preserve"> </w:t>
      </w:r>
      <w:proofErr w:type="gramStart"/>
      <w:r w:rsidRPr="0014296A">
        <w:rPr>
          <w:rFonts w:eastAsia="Times New Roman" w:cs="Times New Roman"/>
          <w:b/>
          <w:bCs/>
          <w:sz w:val="26"/>
          <w:szCs w:val="26"/>
        </w:rPr>
        <w:t xml:space="preserve">Письма Банка России № 76-Т, а также </w:t>
      </w:r>
      <w:proofErr w:type="spellStart"/>
      <w:r w:rsidRPr="0014296A">
        <w:rPr>
          <w:rFonts w:eastAsia="Times New Roman" w:cs="Times New Roman"/>
          <w:b/>
          <w:bCs/>
          <w:sz w:val="26"/>
          <w:szCs w:val="26"/>
        </w:rPr>
        <w:t>Annex</w:t>
      </w:r>
      <w:proofErr w:type="spellEnd"/>
      <w:r w:rsidRPr="0014296A">
        <w:rPr>
          <w:rFonts w:eastAsia="Times New Roman" w:cs="Times New Roman"/>
          <w:b/>
          <w:bCs/>
          <w:sz w:val="26"/>
          <w:szCs w:val="26"/>
        </w:rPr>
        <w:t xml:space="preserve"> 9 </w:t>
      </w:r>
      <w:proofErr w:type="spellStart"/>
      <w:r w:rsidRPr="0014296A">
        <w:rPr>
          <w:rFonts w:eastAsia="Times New Roman" w:cs="Times New Roman"/>
          <w:b/>
          <w:bCs/>
          <w:sz w:val="26"/>
          <w:szCs w:val="26"/>
        </w:rPr>
        <w:t>Basel</w:t>
      </w:r>
      <w:proofErr w:type="spellEnd"/>
      <w:r w:rsidRPr="0014296A">
        <w:rPr>
          <w:rFonts w:eastAsia="Times New Roman" w:cs="Times New Roman"/>
          <w:b/>
          <w:bCs/>
          <w:sz w:val="26"/>
          <w:szCs w:val="26"/>
        </w:rPr>
        <w:t xml:space="preserve"> II), случаи нарушения банком законодательства относятся к операционным рискам.</w:t>
      </w:r>
      <w:proofErr w:type="gramEnd"/>
      <w:r w:rsidRPr="0014296A">
        <w:rPr>
          <w:rFonts w:eastAsia="Times New Roman" w:cs="Times New Roman"/>
          <w:b/>
          <w:bCs/>
          <w:sz w:val="26"/>
          <w:szCs w:val="26"/>
        </w:rPr>
        <w:t xml:space="preserve"> Таким образом, получается, что в операционный ри</w:t>
      </w:r>
      <w:proofErr w:type="gramStart"/>
      <w:r w:rsidRPr="0014296A">
        <w:rPr>
          <w:rFonts w:eastAsia="Times New Roman" w:cs="Times New Roman"/>
          <w:b/>
          <w:bCs/>
          <w:sz w:val="26"/>
          <w:szCs w:val="26"/>
        </w:rPr>
        <w:t>ск вкл</w:t>
      </w:r>
      <w:proofErr w:type="gramEnd"/>
      <w:r w:rsidRPr="0014296A">
        <w:rPr>
          <w:rFonts w:eastAsia="Times New Roman" w:cs="Times New Roman"/>
          <w:b/>
          <w:bCs/>
          <w:sz w:val="26"/>
          <w:szCs w:val="26"/>
        </w:rPr>
        <w:t>ючается и регуляторный риск. Правомерно ли утверждать, что регуляторный ри</w:t>
      </w:r>
      <w:proofErr w:type="gramStart"/>
      <w:r w:rsidRPr="0014296A">
        <w:rPr>
          <w:rFonts w:eastAsia="Times New Roman" w:cs="Times New Roman"/>
          <w:b/>
          <w:bCs/>
          <w:sz w:val="26"/>
          <w:szCs w:val="26"/>
        </w:rPr>
        <w:t>ск вкл</w:t>
      </w:r>
      <w:proofErr w:type="gramEnd"/>
      <w:r w:rsidRPr="0014296A">
        <w:rPr>
          <w:rFonts w:eastAsia="Times New Roman" w:cs="Times New Roman"/>
          <w:b/>
          <w:bCs/>
          <w:sz w:val="26"/>
          <w:szCs w:val="26"/>
        </w:rPr>
        <w:t xml:space="preserve">ючается в операционный риск? Предлагаем случаи нарушения банком законодательства признавать случаем (событием) операционного риска и относить к операционным рискам по факту их реализации, в то же время регуляторный риск в целом не относить </w:t>
      </w:r>
      <w:proofErr w:type="gramStart"/>
      <w:r w:rsidRPr="0014296A">
        <w:rPr>
          <w:rFonts w:eastAsia="Times New Roman" w:cs="Times New Roman"/>
          <w:b/>
          <w:bCs/>
          <w:sz w:val="26"/>
          <w:szCs w:val="26"/>
        </w:rPr>
        <w:t>к</w:t>
      </w:r>
      <w:proofErr w:type="gramEnd"/>
      <w:r w:rsidRPr="0014296A">
        <w:rPr>
          <w:rFonts w:eastAsia="Times New Roman" w:cs="Times New Roman"/>
          <w:b/>
          <w:bCs/>
          <w:sz w:val="26"/>
          <w:szCs w:val="26"/>
        </w:rPr>
        <w:t xml:space="preserve"> операционному, так как он управляется подразделениями Внутреннего контро</w:t>
      </w:r>
      <w:r>
        <w:rPr>
          <w:rFonts w:eastAsia="Times New Roman" w:cs="Times New Roman"/>
          <w:b/>
          <w:bCs/>
          <w:sz w:val="26"/>
          <w:szCs w:val="26"/>
        </w:rPr>
        <w:t>ля на основании Положения 242-П</w:t>
      </w:r>
      <w:r w:rsidRPr="0014296A">
        <w:rPr>
          <w:rFonts w:eastAsia="Times New Roman" w:cs="Times New Roman"/>
          <w:b/>
          <w:bCs/>
          <w:sz w:val="26"/>
          <w:szCs w:val="26"/>
        </w:rPr>
        <w:t>.</w:t>
      </w:r>
    </w:p>
    <w:p w:rsidR="008C6C00" w:rsidRPr="0014296A"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14296A">
        <w:rPr>
          <w:rFonts w:eastAsia="Times New Roman" w:cs="Times New Roman"/>
          <w:sz w:val="26"/>
          <w:szCs w:val="26"/>
        </w:rPr>
        <w:t xml:space="preserve">Определение регуляторного риска, содержащееся в Указании Банка России № 242-П, соответствует определению, принятому </w:t>
      </w:r>
      <w:proofErr w:type="spellStart"/>
      <w:r w:rsidRPr="0014296A">
        <w:rPr>
          <w:rFonts w:eastAsia="Times New Roman" w:cs="Times New Roman"/>
          <w:sz w:val="26"/>
          <w:szCs w:val="26"/>
        </w:rPr>
        <w:t>Базельским</w:t>
      </w:r>
      <w:proofErr w:type="spellEnd"/>
      <w:r w:rsidRPr="0014296A">
        <w:rPr>
          <w:rFonts w:eastAsia="Times New Roman" w:cs="Times New Roman"/>
          <w:sz w:val="26"/>
          <w:szCs w:val="26"/>
        </w:rPr>
        <w:t xml:space="preserve"> комитетом по банковскому надзору в документе "</w:t>
      </w:r>
      <w:proofErr w:type="spellStart"/>
      <w:r w:rsidRPr="0014296A">
        <w:rPr>
          <w:rFonts w:eastAsia="Times New Roman" w:cs="Times New Roman"/>
          <w:sz w:val="26"/>
          <w:szCs w:val="26"/>
        </w:rPr>
        <w:t>Compliance</w:t>
      </w:r>
      <w:proofErr w:type="spellEnd"/>
      <w:r w:rsidRPr="0014296A">
        <w:rPr>
          <w:rFonts w:eastAsia="Times New Roman" w:cs="Times New Roman"/>
          <w:sz w:val="26"/>
          <w:szCs w:val="26"/>
        </w:rPr>
        <w:t xml:space="preserve"> </w:t>
      </w:r>
      <w:proofErr w:type="spellStart"/>
      <w:r w:rsidRPr="0014296A">
        <w:rPr>
          <w:rFonts w:eastAsia="Times New Roman" w:cs="Times New Roman"/>
          <w:sz w:val="26"/>
          <w:szCs w:val="26"/>
        </w:rPr>
        <w:t>and</w:t>
      </w:r>
      <w:proofErr w:type="spellEnd"/>
      <w:r w:rsidRPr="0014296A">
        <w:rPr>
          <w:rFonts w:eastAsia="Times New Roman" w:cs="Times New Roman"/>
          <w:sz w:val="26"/>
          <w:szCs w:val="26"/>
        </w:rPr>
        <w:t xml:space="preserve"> </w:t>
      </w:r>
      <w:proofErr w:type="spellStart"/>
      <w:r w:rsidRPr="0014296A">
        <w:rPr>
          <w:rFonts w:eastAsia="Times New Roman" w:cs="Times New Roman"/>
          <w:sz w:val="26"/>
          <w:szCs w:val="26"/>
        </w:rPr>
        <w:t>the</w:t>
      </w:r>
      <w:proofErr w:type="spellEnd"/>
      <w:r w:rsidRPr="0014296A">
        <w:rPr>
          <w:rFonts w:eastAsia="Times New Roman" w:cs="Times New Roman"/>
          <w:sz w:val="26"/>
          <w:szCs w:val="26"/>
        </w:rPr>
        <w:t xml:space="preserve"> </w:t>
      </w:r>
      <w:proofErr w:type="spellStart"/>
      <w:r w:rsidRPr="0014296A">
        <w:rPr>
          <w:rFonts w:eastAsia="Times New Roman" w:cs="Times New Roman"/>
          <w:sz w:val="26"/>
          <w:szCs w:val="26"/>
        </w:rPr>
        <w:t>compliance</w:t>
      </w:r>
      <w:proofErr w:type="spellEnd"/>
      <w:r w:rsidRPr="0014296A">
        <w:rPr>
          <w:rFonts w:eastAsia="Times New Roman" w:cs="Times New Roman"/>
          <w:sz w:val="26"/>
          <w:szCs w:val="26"/>
        </w:rPr>
        <w:t xml:space="preserve"> </w:t>
      </w:r>
      <w:proofErr w:type="spellStart"/>
      <w:r w:rsidRPr="0014296A">
        <w:rPr>
          <w:rFonts w:eastAsia="Times New Roman" w:cs="Times New Roman"/>
          <w:sz w:val="26"/>
          <w:szCs w:val="26"/>
        </w:rPr>
        <w:t>function</w:t>
      </w:r>
      <w:proofErr w:type="spellEnd"/>
      <w:r w:rsidRPr="0014296A">
        <w:rPr>
          <w:rFonts w:eastAsia="Times New Roman" w:cs="Times New Roman"/>
          <w:sz w:val="26"/>
          <w:szCs w:val="26"/>
        </w:rPr>
        <w:t xml:space="preserve"> </w:t>
      </w:r>
      <w:proofErr w:type="spellStart"/>
      <w:r w:rsidRPr="0014296A">
        <w:rPr>
          <w:rFonts w:eastAsia="Times New Roman" w:cs="Times New Roman"/>
          <w:sz w:val="26"/>
          <w:szCs w:val="26"/>
        </w:rPr>
        <w:t>in</w:t>
      </w:r>
      <w:proofErr w:type="spellEnd"/>
      <w:r w:rsidRPr="0014296A">
        <w:rPr>
          <w:rFonts w:eastAsia="Times New Roman" w:cs="Times New Roman"/>
          <w:sz w:val="26"/>
          <w:szCs w:val="26"/>
        </w:rPr>
        <w:t xml:space="preserve"> </w:t>
      </w:r>
      <w:proofErr w:type="spellStart"/>
      <w:r w:rsidRPr="0014296A">
        <w:rPr>
          <w:rFonts w:eastAsia="Times New Roman" w:cs="Times New Roman"/>
          <w:sz w:val="26"/>
          <w:szCs w:val="26"/>
        </w:rPr>
        <w:t>banks</w:t>
      </w:r>
      <w:proofErr w:type="spellEnd"/>
      <w:r w:rsidRPr="0014296A">
        <w:rPr>
          <w:rFonts w:eastAsia="Times New Roman" w:cs="Times New Roman"/>
          <w:sz w:val="26"/>
          <w:szCs w:val="26"/>
        </w:rPr>
        <w:t>" (апрель, 2005).</w:t>
      </w:r>
    </w:p>
    <w:p w:rsidR="008C6C00" w:rsidRPr="0014296A" w:rsidRDefault="008C6C00" w:rsidP="008C6C00">
      <w:pPr>
        <w:shd w:val="clear" w:color="auto" w:fill="FFFFFF"/>
        <w:spacing w:after="0"/>
        <w:ind w:left="0" w:right="10" w:firstLine="538"/>
        <w:rPr>
          <w:rFonts w:eastAsia="Times New Roman" w:cs="Times New Roman"/>
          <w:sz w:val="26"/>
          <w:szCs w:val="26"/>
        </w:rPr>
      </w:pPr>
      <w:r w:rsidRPr="0014296A">
        <w:rPr>
          <w:rFonts w:eastAsia="Times New Roman" w:cs="Times New Roman"/>
          <w:sz w:val="26"/>
          <w:szCs w:val="26"/>
        </w:rPr>
        <w:t>В Приложении 9 к Базелю II факторы операционного риска охватывают случаи внутреннего и внешнего мошенничества (умышленный обход законодательства) и не содержат случаи непреднамеренного нарушения законодательства, которые являются факторами регуляторного риска.</w:t>
      </w:r>
    </w:p>
    <w:p w:rsidR="008C6C00" w:rsidRPr="0014296A" w:rsidRDefault="008C6C00" w:rsidP="008C6C00">
      <w:pPr>
        <w:shd w:val="clear" w:color="auto" w:fill="FFFFFF"/>
        <w:spacing w:after="0"/>
        <w:ind w:left="0" w:right="10" w:firstLine="538"/>
        <w:rPr>
          <w:rFonts w:eastAsia="Times New Roman" w:cs="Times New Roman"/>
          <w:sz w:val="26"/>
          <w:szCs w:val="26"/>
        </w:rPr>
      </w:pPr>
      <w:r w:rsidRPr="0014296A">
        <w:rPr>
          <w:rFonts w:eastAsia="Times New Roman" w:cs="Times New Roman"/>
          <w:sz w:val="26"/>
          <w:szCs w:val="26"/>
        </w:rPr>
        <w:t>В соответствии с Указанием № 3624-У правовой риск является частью операционного риска, при этом в правовой риск не включаются случаи нарушения законодательства, поскольку они относятся к регуляторному риску. Указанием № 3624-У не предусматривается включение регуляторного риска в операционный риск.</w:t>
      </w:r>
    </w:p>
    <w:p w:rsidR="008C6C00" w:rsidRPr="0014296A" w:rsidRDefault="008C6C00" w:rsidP="008C6C00">
      <w:pPr>
        <w:shd w:val="clear" w:color="auto" w:fill="FFFFFF"/>
        <w:spacing w:after="0"/>
        <w:ind w:left="0" w:right="10" w:firstLine="538"/>
        <w:rPr>
          <w:rFonts w:eastAsia="Times New Roman" w:cs="Times New Roman"/>
          <w:sz w:val="26"/>
          <w:szCs w:val="26"/>
        </w:rPr>
      </w:pPr>
    </w:p>
    <w:p w:rsidR="008C6C00" w:rsidRPr="00F96FF3" w:rsidRDefault="008C6C00" w:rsidP="008C6C00">
      <w:pPr>
        <w:shd w:val="clear" w:color="auto" w:fill="FFFFFF"/>
        <w:spacing w:after="0"/>
        <w:ind w:left="24" w:right="5" w:firstLine="706"/>
        <w:rPr>
          <w:rFonts w:eastAsia="Times New Roman" w:cs="Times New Roman"/>
          <w:b/>
          <w:bCs/>
          <w:sz w:val="26"/>
          <w:szCs w:val="26"/>
        </w:rPr>
      </w:pPr>
      <w:r w:rsidRPr="00F96FF3">
        <w:rPr>
          <w:rFonts w:eastAsia="Times New Roman" w:cs="Times New Roman"/>
          <w:b/>
          <w:bCs/>
          <w:sz w:val="26"/>
          <w:szCs w:val="26"/>
        </w:rPr>
        <w:t>Вопрос 2. В соответствии с изменениями в № 3624-У, ред. От 03.12.2015, из определения операционного риска был удален риск недобросовестности работников. Фраза</w:t>
      </w:r>
      <w:r w:rsidRPr="002E3ECA">
        <w:rPr>
          <w:rFonts w:eastAsia="Times New Roman" w:cs="Times New Roman"/>
          <w:b/>
          <w:bCs/>
          <w:sz w:val="26"/>
          <w:szCs w:val="26"/>
        </w:rPr>
        <w:t xml:space="preserve"> </w:t>
      </w:r>
      <w:r w:rsidRPr="00F96FF3">
        <w:rPr>
          <w:rFonts w:eastAsia="Times New Roman" w:cs="Times New Roman"/>
          <w:b/>
          <w:bCs/>
          <w:sz w:val="26"/>
          <w:szCs w:val="26"/>
        </w:rPr>
        <w:t>"недобросовестность</w:t>
      </w:r>
      <w:r w:rsidRPr="002E3ECA">
        <w:rPr>
          <w:rFonts w:eastAsia="Times New Roman" w:cs="Times New Roman"/>
          <w:b/>
          <w:bCs/>
          <w:sz w:val="26"/>
          <w:szCs w:val="26"/>
        </w:rPr>
        <w:t xml:space="preserve"> </w:t>
      </w:r>
      <w:r w:rsidRPr="00F96FF3">
        <w:rPr>
          <w:rFonts w:eastAsia="Times New Roman" w:cs="Times New Roman"/>
          <w:b/>
          <w:bCs/>
          <w:sz w:val="26"/>
          <w:szCs w:val="26"/>
        </w:rPr>
        <w:t>работников" из первоначального определения операционного риска в № 3624-У полностью соотносилась с "</w:t>
      </w:r>
      <w:proofErr w:type="spellStart"/>
      <w:r w:rsidRPr="00F96FF3">
        <w:rPr>
          <w:rFonts w:eastAsia="Times New Roman" w:cs="Times New Roman"/>
          <w:b/>
          <w:bCs/>
          <w:sz w:val="26"/>
          <w:szCs w:val="26"/>
        </w:rPr>
        <w:t>people</w:t>
      </w:r>
      <w:proofErr w:type="spellEnd"/>
      <w:r w:rsidRPr="00F96FF3">
        <w:rPr>
          <w:rFonts w:eastAsia="Times New Roman" w:cs="Times New Roman"/>
          <w:b/>
          <w:bCs/>
          <w:sz w:val="26"/>
          <w:szCs w:val="26"/>
        </w:rPr>
        <w:t>" из определения операционного риска, которое дал БКБН: "</w:t>
      </w:r>
      <w:proofErr w:type="spellStart"/>
      <w:r w:rsidRPr="00F96FF3">
        <w:rPr>
          <w:rFonts w:eastAsia="Times New Roman" w:cs="Times New Roman"/>
          <w:b/>
          <w:bCs/>
          <w:sz w:val="26"/>
          <w:szCs w:val="26"/>
        </w:rPr>
        <w:t>Operational</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risk</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is</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defined</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as</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the</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risk</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of</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loss</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resulting</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from</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inadequate</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or</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failed</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internal</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processes</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people</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and</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systems</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or</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from</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external</w:t>
      </w:r>
      <w:proofErr w:type="spellEnd"/>
      <w:r w:rsidRPr="00F96FF3">
        <w:rPr>
          <w:rFonts w:eastAsia="Times New Roman" w:cs="Times New Roman"/>
          <w:b/>
          <w:bCs/>
          <w:sz w:val="26"/>
          <w:szCs w:val="26"/>
        </w:rPr>
        <w:t xml:space="preserve"> </w:t>
      </w:r>
      <w:proofErr w:type="spellStart"/>
      <w:r w:rsidRPr="00F96FF3">
        <w:rPr>
          <w:rFonts w:eastAsia="Times New Roman" w:cs="Times New Roman"/>
          <w:b/>
          <w:bCs/>
          <w:sz w:val="26"/>
          <w:szCs w:val="26"/>
        </w:rPr>
        <w:t>events</w:t>
      </w:r>
      <w:proofErr w:type="spellEnd"/>
      <w:r w:rsidRPr="00F96FF3">
        <w:rPr>
          <w:rFonts w:eastAsia="Times New Roman" w:cs="Times New Roman"/>
          <w:b/>
          <w:bCs/>
          <w:sz w:val="26"/>
          <w:szCs w:val="26"/>
        </w:rPr>
        <w:t>". Просим разъяснить причины удаления фразы "недобросовестность работников" из определения операционного риска? Правильно ли понимать, что в связи с исключением в № 3624-У из определения операционного риска фразы "недобросовестность работников" из определения операционного риска исключаются риски, связанные с человеческим фактором (например, ошибки сотрудников, мошенничество сотрудников)?</w:t>
      </w:r>
    </w:p>
    <w:p w:rsidR="008C6C00" w:rsidRPr="00F96FF3" w:rsidRDefault="008C6C00" w:rsidP="008C6C00">
      <w:pPr>
        <w:shd w:val="clear" w:color="auto" w:fill="FFFFFF"/>
        <w:spacing w:after="0"/>
        <w:ind w:left="24" w:right="5" w:firstLine="706"/>
        <w:rPr>
          <w:rFonts w:eastAsia="Times New Roman" w:cs="Times New Roman"/>
          <w:b/>
          <w:bCs/>
          <w:sz w:val="26"/>
          <w:szCs w:val="26"/>
        </w:rPr>
      </w:pPr>
      <w:r w:rsidRPr="00F96FF3">
        <w:rPr>
          <w:rFonts w:eastAsia="Times New Roman" w:cs="Times New Roman"/>
          <w:b/>
          <w:bCs/>
          <w:sz w:val="26"/>
          <w:szCs w:val="26"/>
        </w:rPr>
        <w:t xml:space="preserve">Предлагаем вернуть в № 3624-У в определение операционного риска фразу "недобросовестность работников". Продолжать рассматривать риски, </w:t>
      </w:r>
      <w:r w:rsidRPr="00F96FF3">
        <w:rPr>
          <w:rFonts w:eastAsia="Times New Roman" w:cs="Times New Roman"/>
          <w:b/>
          <w:bCs/>
          <w:sz w:val="26"/>
          <w:szCs w:val="26"/>
        </w:rPr>
        <w:lastRenderedPageBreak/>
        <w:t>связанные с человеческим фактором (например, ошибки сотрудников, мошенничество сотрудников) внутри операционного риска.</w:t>
      </w:r>
    </w:p>
    <w:p w:rsidR="008C6C00" w:rsidRPr="002E3ECA"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2E3ECA">
        <w:rPr>
          <w:rFonts w:eastAsia="Times New Roman" w:cs="Times New Roman"/>
          <w:sz w:val="26"/>
          <w:szCs w:val="26"/>
        </w:rPr>
        <w:t>Риски, связанные с человеческим фактором, рассматриваются в качестве факторов, приводящих к нарушению внутренних процедур управления кредитной организации, и, таким образом, рассматриваются в рамках операционного риска.</w:t>
      </w:r>
    </w:p>
    <w:p w:rsidR="008C6C00" w:rsidRPr="000F2666" w:rsidRDefault="008C6C00" w:rsidP="008C6C00">
      <w:pPr>
        <w:shd w:val="clear" w:color="auto" w:fill="FFFFFF"/>
        <w:spacing w:after="0"/>
        <w:ind w:left="0" w:right="10" w:firstLine="538"/>
        <w:rPr>
          <w:rFonts w:eastAsia="Times New Roman" w:cs="Times New Roman"/>
          <w:sz w:val="26"/>
          <w:szCs w:val="26"/>
        </w:rPr>
      </w:pPr>
    </w:p>
    <w:p w:rsidR="008C6C00" w:rsidRPr="002E3ECA" w:rsidRDefault="008C6C00" w:rsidP="008C6C00">
      <w:pPr>
        <w:shd w:val="clear" w:color="auto" w:fill="FFFFFF"/>
        <w:spacing w:after="0"/>
        <w:ind w:left="24" w:right="5" w:firstLine="706"/>
        <w:rPr>
          <w:rFonts w:eastAsia="Times New Roman" w:cs="Times New Roman"/>
          <w:b/>
          <w:bCs/>
          <w:sz w:val="26"/>
          <w:szCs w:val="26"/>
        </w:rPr>
      </w:pPr>
      <w:r w:rsidRPr="002E3ECA">
        <w:rPr>
          <w:rFonts w:eastAsia="Times New Roman" w:cs="Times New Roman"/>
          <w:b/>
          <w:bCs/>
          <w:sz w:val="26"/>
          <w:szCs w:val="26"/>
        </w:rPr>
        <w:t xml:space="preserve">Вопрос 3. В Указании № 3624-У несколько раз встречается ссылка на Положение Банка России от 06.08.2015г. № 483-П «Положение о порядке расчета величины кредитного риска на основе внутренних рейтингов» (далее - Положение № 483-П). Данное Положение распространяется на банки, получившие разрешение Банка России в соответствии с Указанием Банка России от 06.08.2015г. № 3752-У "О порядке получения разрешений на применение банковских методик управления кредитными рисками и моделей количественной оценки кредитных рисков в целях расчета нормативов достаточности капитала банка, а также порядке оценки их качества". </w:t>
      </w:r>
      <w:proofErr w:type="gramStart"/>
      <w:r w:rsidRPr="002E3ECA">
        <w:rPr>
          <w:rFonts w:eastAsia="Times New Roman" w:cs="Times New Roman"/>
          <w:b/>
          <w:bCs/>
          <w:sz w:val="26"/>
          <w:szCs w:val="26"/>
        </w:rPr>
        <w:t>Верно</w:t>
      </w:r>
      <w:proofErr w:type="gramEnd"/>
      <w:r w:rsidRPr="002E3ECA">
        <w:rPr>
          <w:rFonts w:eastAsia="Times New Roman" w:cs="Times New Roman"/>
          <w:b/>
          <w:bCs/>
          <w:sz w:val="26"/>
          <w:szCs w:val="26"/>
        </w:rPr>
        <w:t xml:space="preserve"> ли понимать, что пункты Указания № 3624-У, в которых есть ссылка на Положение № 483-П, не распространяются на кредитные организации, не получившие разрешение Банка России?</w:t>
      </w:r>
    </w:p>
    <w:p w:rsidR="008C6C00" w:rsidRPr="002E3ECA"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2E3ECA">
        <w:rPr>
          <w:rFonts w:eastAsia="Times New Roman" w:cs="Times New Roman"/>
          <w:sz w:val="26"/>
          <w:szCs w:val="26"/>
        </w:rPr>
        <w:t>В соответствии с Указанием № 3624-У кредитная организация в целях оценки достаточности капитала в рамках ВПОДК может использовать модели количественной оценки рисков без согласования с Банком России. В этом случае, в соответствии с пунктами 2.1 и 2.2 Главы 2 Приложения к Указанию № 3624-У, применяемые кредитной организацией методы должны соответствовать требованиям, предъявляемым к ним Положением Банка России № 483-П.</w:t>
      </w:r>
    </w:p>
    <w:p w:rsidR="008C6C00" w:rsidRPr="000F2666" w:rsidRDefault="008C6C00" w:rsidP="008C6C00">
      <w:pPr>
        <w:shd w:val="clear" w:color="auto" w:fill="FFFFFF"/>
        <w:spacing w:after="0"/>
        <w:ind w:left="0" w:right="10" w:firstLine="538"/>
        <w:rPr>
          <w:rFonts w:eastAsia="Times New Roman" w:cs="Times New Roman"/>
          <w:sz w:val="26"/>
          <w:szCs w:val="26"/>
        </w:rPr>
      </w:pPr>
    </w:p>
    <w:p w:rsidR="008C6C00" w:rsidRPr="00892D8C" w:rsidRDefault="008C6C00" w:rsidP="008C6C00">
      <w:pPr>
        <w:shd w:val="clear" w:color="auto" w:fill="FFFFFF"/>
        <w:spacing w:after="0"/>
        <w:ind w:left="24" w:right="5" w:firstLine="706"/>
        <w:rPr>
          <w:rFonts w:eastAsia="Times New Roman" w:cs="Times New Roman"/>
          <w:b/>
          <w:bCs/>
          <w:sz w:val="26"/>
          <w:szCs w:val="26"/>
        </w:rPr>
      </w:pPr>
      <w:r w:rsidRPr="00892D8C">
        <w:rPr>
          <w:rFonts w:eastAsia="Times New Roman" w:cs="Times New Roman"/>
          <w:b/>
          <w:bCs/>
          <w:sz w:val="26"/>
          <w:szCs w:val="26"/>
        </w:rPr>
        <w:t xml:space="preserve">Вопрос 4. Согласно подпункту 4.9.1 Указания № 3624-У: </w:t>
      </w:r>
      <w:proofErr w:type="gramStart"/>
      <w:r w:rsidRPr="00892D8C">
        <w:rPr>
          <w:rFonts w:eastAsia="Times New Roman" w:cs="Times New Roman"/>
          <w:b/>
          <w:bCs/>
          <w:sz w:val="26"/>
          <w:szCs w:val="26"/>
        </w:rPr>
        <w:t>«В отношении процентного риска и риска концентрации кредитной организацией (...) должны быть установлены процедуры оценки достаточности капитала либо методика определения требований к капиталу для покрытия указанных убытков.». Следует ли из этого, что процедуры оценки достаточности капитала либо методика определения требований к капиталу для покрытия убытков, связанных с процентным риском и риском концентрации, должны быть установлены Банком независимо от признания их значимыми</w:t>
      </w:r>
      <w:proofErr w:type="gramEnd"/>
      <w:r w:rsidRPr="00892D8C">
        <w:rPr>
          <w:rFonts w:eastAsia="Times New Roman" w:cs="Times New Roman"/>
          <w:b/>
          <w:bCs/>
          <w:sz w:val="26"/>
          <w:szCs w:val="26"/>
        </w:rPr>
        <w:t xml:space="preserve"> (аналогично кредитному, рыночному и операционному рискам).</w:t>
      </w:r>
    </w:p>
    <w:p w:rsidR="008C6C00" w:rsidRPr="00892D8C"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892D8C">
        <w:rPr>
          <w:rFonts w:eastAsia="Times New Roman" w:cs="Times New Roman"/>
          <w:sz w:val="26"/>
          <w:szCs w:val="26"/>
        </w:rPr>
        <w:t>В соответствии с параграфом 724 Базеля II риски, которые не рассматриваются в рамках Компонента 1, подлежат рассмотрению в рамках Компонента 2. К таким рискам, в том числе относятся процентный риск и риск концентрации.</w:t>
      </w:r>
    </w:p>
    <w:p w:rsidR="008C6C00" w:rsidRPr="00892D8C" w:rsidRDefault="008C6C00" w:rsidP="008C6C00">
      <w:pPr>
        <w:shd w:val="clear" w:color="auto" w:fill="FFFFFF"/>
        <w:spacing w:after="0"/>
        <w:ind w:left="0" w:right="10" w:firstLine="538"/>
        <w:rPr>
          <w:rFonts w:eastAsia="Times New Roman" w:cs="Times New Roman"/>
          <w:sz w:val="26"/>
          <w:szCs w:val="26"/>
        </w:rPr>
      </w:pPr>
      <w:r w:rsidRPr="00892D8C">
        <w:rPr>
          <w:rFonts w:eastAsia="Times New Roman" w:cs="Times New Roman"/>
          <w:sz w:val="26"/>
          <w:szCs w:val="26"/>
        </w:rPr>
        <w:t xml:space="preserve">В соответствии с параграфами 764 и 773 Компонента 2 Базеля II кредитная организация должна обеспечить наличие капитала на уровне, достаточном для </w:t>
      </w:r>
      <w:r w:rsidRPr="00892D8C">
        <w:rPr>
          <w:rFonts w:eastAsia="Times New Roman" w:cs="Times New Roman"/>
          <w:sz w:val="26"/>
          <w:szCs w:val="26"/>
        </w:rPr>
        <w:lastRenderedPageBreak/>
        <w:t xml:space="preserve">покрытия процентного риска и риска концентрации. </w:t>
      </w:r>
      <w:proofErr w:type="gramStart"/>
      <w:r w:rsidRPr="00892D8C">
        <w:rPr>
          <w:rFonts w:eastAsia="Times New Roman" w:cs="Times New Roman"/>
          <w:sz w:val="26"/>
          <w:szCs w:val="26"/>
        </w:rPr>
        <w:t>Основываясь на вышеизложенном, Указанием № 3624-У установлено, что кредитная организация должна осуществлять оценку достаточности капитала в отношении процентного риска и риска концентрации, не учитываемых в рамках Компонента 1.</w:t>
      </w:r>
      <w:proofErr w:type="gramEnd"/>
    </w:p>
    <w:p w:rsidR="008C6C00" w:rsidRPr="00892D8C" w:rsidRDefault="008C6C00" w:rsidP="008C6C00">
      <w:pPr>
        <w:shd w:val="clear" w:color="auto" w:fill="FFFFFF"/>
        <w:spacing w:after="0"/>
        <w:ind w:left="0" w:right="10" w:firstLine="538"/>
        <w:rPr>
          <w:rFonts w:eastAsia="Times New Roman" w:cs="Times New Roman"/>
          <w:sz w:val="26"/>
          <w:szCs w:val="26"/>
        </w:rPr>
      </w:pPr>
    </w:p>
    <w:p w:rsidR="008C6C00" w:rsidRPr="00E54E52" w:rsidRDefault="008C6C00" w:rsidP="008C6C00">
      <w:pPr>
        <w:shd w:val="clear" w:color="auto" w:fill="FFFFFF"/>
        <w:spacing w:after="0"/>
        <w:ind w:left="24" w:right="5" w:firstLine="706"/>
        <w:rPr>
          <w:rFonts w:eastAsia="Times New Roman" w:cs="Times New Roman"/>
          <w:b/>
          <w:bCs/>
          <w:sz w:val="26"/>
          <w:szCs w:val="26"/>
        </w:rPr>
      </w:pPr>
      <w:r w:rsidRPr="00E54E52">
        <w:rPr>
          <w:rFonts w:eastAsia="Times New Roman" w:cs="Times New Roman"/>
          <w:b/>
          <w:bCs/>
          <w:sz w:val="26"/>
          <w:szCs w:val="26"/>
        </w:rPr>
        <w:t xml:space="preserve">Вопрос 5. В подпункте 2.1.1 главы 2 Указания № 3624-У дано определение такого вида риска, как «кредитный риск контрагента». Если банк осуществляет сделки РЕПО только с Банком России, то может ли банк не разрабатывать процедуры выявления кредитного риска контрагента, методологию его оценки, </w:t>
      </w:r>
      <w:proofErr w:type="gramStart"/>
      <w:r w:rsidRPr="00E54E52">
        <w:rPr>
          <w:rFonts w:eastAsia="Times New Roman" w:cs="Times New Roman"/>
          <w:b/>
          <w:bCs/>
          <w:sz w:val="26"/>
          <w:szCs w:val="26"/>
        </w:rPr>
        <w:t>контроль за</w:t>
      </w:r>
      <w:proofErr w:type="gramEnd"/>
      <w:r w:rsidRPr="00E54E52">
        <w:rPr>
          <w:rFonts w:eastAsia="Times New Roman" w:cs="Times New Roman"/>
          <w:b/>
          <w:bCs/>
          <w:sz w:val="26"/>
          <w:szCs w:val="26"/>
        </w:rPr>
        <w:t xml:space="preserve"> объемом принятого риска, а также отчетность по данному риску? Достаточно ли профессионального суждения, утвержденного Советом Директоров, об отсутствии кредитного риска контрагента на Банк России?</w:t>
      </w:r>
    </w:p>
    <w:p w:rsidR="008C6C00" w:rsidRPr="00E54E52"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E54E52">
        <w:rPr>
          <w:rFonts w:eastAsia="Times New Roman" w:cs="Times New Roman"/>
          <w:sz w:val="26"/>
          <w:szCs w:val="26"/>
        </w:rPr>
        <w:t>В случае если банк осуществляет сделки Р</w:t>
      </w:r>
      <w:r>
        <w:rPr>
          <w:rFonts w:eastAsia="Times New Roman" w:cs="Times New Roman"/>
          <w:sz w:val="26"/>
          <w:szCs w:val="26"/>
        </w:rPr>
        <w:t>ЕПО только с Банком России и не осуществляет иных</w:t>
      </w:r>
      <w:r w:rsidRPr="00E54E52">
        <w:rPr>
          <w:rFonts w:eastAsia="Times New Roman" w:cs="Times New Roman"/>
          <w:sz w:val="26"/>
          <w:szCs w:val="26"/>
        </w:rPr>
        <w:t xml:space="preserve"> оп</w:t>
      </w:r>
      <w:r>
        <w:rPr>
          <w:rFonts w:eastAsia="Times New Roman" w:cs="Times New Roman"/>
          <w:sz w:val="26"/>
          <w:szCs w:val="26"/>
        </w:rPr>
        <w:t xml:space="preserve">ераций с производными </w:t>
      </w:r>
      <w:r w:rsidRPr="00E54E52">
        <w:rPr>
          <w:rFonts w:eastAsia="Times New Roman" w:cs="Times New Roman"/>
          <w:sz w:val="26"/>
          <w:szCs w:val="26"/>
        </w:rPr>
        <w:t>финансовыми инструментами, то процедуры по управлению кредитным риском контрагента могут не устанавливаться. Указанное должно быть закреплено во внутренних документах банка.</w:t>
      </w:r>
    </w:p>
    <w:p w:rsidR="008C6C00" w:rsidRPr="00E54E52" w:rsidRDefault="008C6C00" w:rsidP="008C6C00">
      <w:pPr>
        <w:shd w:val="clear" w:color="auto" w:fill="FFFFFF"/>
        <w:spacing w:after="0"/>
        <w:ind w:left="0" w:right="10" w:firstLine="538"/>
        <w:rPr>
          <w:rFonts w:eastAsia="Times New Roman" w:cs="Times New Roman"/>
          <w:sz w:val="26"/>
          <w:szCs w:val="26"/>
        </w:rPr>
      </w:pPr>
    </w:p>
    <w:p w:rsidR="008C6C00" w:rsidRPr="00381060" w:rsidRDefault="008C6C00" w:rsidP="008C6C00">
      <w:pPr>
        <w:shd w:val="clear" w:color="auto" w:fill="FFFFFF"/>
        <w:spacing w:after="0"/>
        <w:ind w:left="24" w:right="5" w:firstLine="706"/>
        <w:rPr>
          <w:rFonts w:eastAsia="Times New Roman" w:cs="Times New Roman"/>
          <w:b/>
          <w:bCs/>
          <w:sz w:val="26"/>
          <w:szCs w:val="26"/>
        </w:rPr>
      </w:pPr>
      <w:r w:rsidRPr="00381060">
        <w:rPr>
          <w:rFonts w:eastAsia="Times New Roman" w:cs="Times New Roman"/>
          <w:b/>
          <w:bCs/>
          <w:sz w:val="26"/>
          <w:szCs w:val="26"/>
        </w:rPr>
        <w:t>Вопрос 6. Согласно п. 3.6. Указания № 3624-У служба управления рисками может состоять из нескольких подразделений, осуществляющих функции управления рисками. В случаях, когда функции службы управления рисками исполняются несколькими структурными подразделениями кредитной организации, должно быть установлено распределение обязанностей между данными структурными подразделениями. В Указании № 3624-У не приводится перечня функций службы управления рисками.</w:t>
      </w:r>
    </w:p>
    <w:p w:rsidR="008C6C00" w:rsidRPr="00381060" w:rsidRDefault="008C6C00" w:rsidP="008C6C00">
      <w:pPr>
        <w:shd w:val="clear" w:color="auto" w:fill="FFFFFF"/>
        <w:spacing w:after="0"/>
        <w:ind w:left="24" w:right="5" w:firstLine="706"/>
        <w:rPr>
          <w:rFonts w:eastAsia="Times New Roman" w:cs="Times New Roman"/>
          <w:b/>
          <w:bCs/>
          <w:sz w:val="26"/>
          <w:szCs w:val="26"/>
        </w:rPr>
      </w:pPr>
      <w:r w:rsidRPr="00381060">
        <w:rPr>
          <w:rFonts w:eastAsia="Times New Roman" w:cs="Times New Roman"/>
          <w:b/>
          <w:bCs/>
          <w:sz w:val="26"/>
          <w:szCs w:val="26"/>
        </w:rPr>
        <w:t>Планирует ли Банк России подготовить рекомендации относительно функций службы управления рисками?</w:t>
      </w:r>
    </w:p>
    <w:p w:rsidR="008C6C00" w:rsidRPr="00381060"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Pr="00381060">
        <w:rPr>
          <w:rFonts w:eastAsia="Times New Roman" w:cs="Times New Roman"/>
          <w:sz w:val="26"/>
          <w:szCs w:val="26"/>
        </w:rPr>
        <w:t>Главой 3 Указания Банка России от 15.04.2015 № 3624-У «О требованиях к системе управления рисками и капиталом кредитной организации и банковской группы» определено, какие задачи должны решаться в рамках системы управления рисками (выявление рисков, присущих деятельности кредитной организации, и потенциальных рисков, определение значимых рисков и их оценка, агрегирование количественных оценок значимых рисков и контроль за их объемами, обеспечение выполнения установленных Банком</w:t>
      </w:r>
      <w:proofErr w:type="gramEnd"/>
      <w:r w:rsidRPr="00381060">
        <w:rPr>
          <w:rFonts w:eastAsia="Times New Roman" w:cs="Times New Roman"/>
          <w:sz w:val="26"/>
          <w:szCs w:val="26"/>
        </w:rPr>
        <w:t xml:space="preserve"> </w:t>
      </w:r>
      <w:proofErr w:type="gramStart"/>
      <w:r w:rsidRPr="00381060">
        <w:rPr>
          <w:rFonts w:eastAsia="Times New Roman" w:cs="Times New Roman"/>
          <w:sz w:val="26"/>
          <w:szCs w:val="26"/>
        </w:rPr>
        <w:t>России значений обязательных нормативов).</w:t>
      </w:r>
      <w:proofErr w:type="gramEnd"/>
      <w:r w:rsidRPr="00381060">
        <w:rPr>
          <w:rFonts w:eastAsia="Times New Roman" w:cs="Times New Roman"/>
          <w:sz w:val="26"/>
          <w:szCs w:val="26"/>
        </w:rPr>
        <w:t xml:space="preserve"> Служба управления рисками представляет собой подразделение (несколько подразделений) кредитной организации, деятельность которых должна быть направлена на осуществление управления рисками в кредитной организации в соответствии с положениями вышеназванной главы Указания Банка России № 3624-У. Принимая во внимание изложенное, полагаем излишним разработку каких-либо методических рекомендаций в этой области.</w:t>
      </w:r>
    </w:p>
    <w:p w:rsidR="008C6C00" w:rsidRPr="000F2666" w:rsidRDefault="008C6C00" w:rsidP="008C6C00">
      <w:pPr>
        <w:shd w:val="clear" w:color="auto" w:fill="FFFFFF"/>
        <w:spacing w:after="0"/>
        <w:ind w:left="0" w:right="10" w:firstLine="538"/>
        <w:rPr>
          <w:rFonts w:eastAsia="Times New Roman" w:cs="Times New Roman"/>
          <w:sz w:val="26"/>
          <w:szCs w:val="26"/>
        </w:rPr>
      </w:pPr>
    </w:p>
    <w:p w:rsidR="008C6C00" w:rsidRPr="005D0465" w:rsidRDefault="008C6C00" w:rsidP="008C6C00">
      <w:pPr>
        <w:shd w:val="clear" w:color="auto" w:fill="FFFFFF"/>
        <w:spacing w:after="0"/>
        <w:ind w:left="24" w:right="5" w:firstLine="706"/>
        <w:rPr>
          <w:rFonts w:eastAsia="Times New Roman" w:cs="Times New Roman"/>
          <w:b/>
          <w:bCs/>
          <w:sz w:val="26"/>
          <w:szCs w:val="26"/>
        </w:rPr>
      </w:pPr>
      <w:r w:rsidRPr="005D0465">
        <w:rPr>
          <w:rFonts w:eastAsia="Times New Roman" w:cs="Times New Roman"/>
          <w:b/>
          <w:bCs/>
          <w:sz w:val="26"/>
          <w:szCs w:val="26"/>
        </w:rPr>
        <w:lastRenderedPageBreak/>
        <w:t>Вопрос 7. В Указании № 3624-У закреплено определение стратегического риска, являющегося нефинансовым, а также обязанность кредитной организации разработать методологию, обеспечивающую оценку нефинансовых рисков качественными методами на основе профессионального суждения, формируемого по результатам анализа факторов возникновения риска. Должна ли кредитная организация методологию оценки стратегического риска утверждать Советом директоров, профессиональные суждения выносить ему на рассмотрение, чтобы избежать конфликта интересов между руководителем СУР и исполнительными органами управления кредитной организации?</w:t>
      </w:r>
    </w:p>
    <w:p w:rsidR="008C6C00" w:rsidRPr="005D0465"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5D0465">
        <w:rPr>
          <w:rFonts w:eastAsia="Times New Roman" w:cs="Times New Roman"/>
          <w:sz w:val="26"/>
          <w:szCs w:val="26"/>
        </w:rPr>
        <w:t xml:space="preserve">В соответствии со статьей 11.1-1 Федерального закона № 395-1 к компетенции совета директоров кредитной организации, в том числе относится, утверждение стратегии управления рисками и капиталом кредитной организации и порядка управления наиболее значимыми рисками. </w:t>
      </w:r>
      <w:proofErr w:type="gramStart"/>
      <w:r w:rsidRPr="005D0465">
        <w:rPr>
          <w:rFonts w:eastAsia="Times New Roman" w:cs="Times New Roman"/>
          <w:sz w:val="26"/>
          <w:szCs w:val="26"/>
        </w:rPr>
        <w:t>В случае если стратегический риск отнесен кредитной организацией к значимым, то распределение полномочий между органами управления, подразделениями и работниками кредитной организации, а также методы оценки данного вида риска должны утверждаться советом директоров.</w:t>
      </w:r>
      <w:proofErr w:type="gramEnd"/>
      <w:r w:rsidRPr="005D0465">
        <w:rPr>
          <w:rFonts w:eastAsia="Times New Roman" w:cs="Times New Roman"/>
          <w:sz w:val="26"/>
          <w:szCs w:val="26"/>
        </w:rPr>
        <w:t xml:space="preserve"> Более подробные процедуры управления данным риском должны утверждаться исполнительными органами кредитной организации.</w:t>
      </w:r>
    </w:p>
    <w:p w:rsidR="008C6C00" w:rsidRPr="005D0465" w:rsidRDefault="008C6C00" w:rsidP="008C6C00">
      <w:pPr>
        <w:shd w:val="clear" w:color="auto" w:fill="FFFFFF"/>
        <w:spacing w:after="0"/>
        <w:ind w:left="0" w:right="10" w:firstLine="538"/>
        <w:rPr>
          <w:rFonts w:eastAsia="Times New Roman" w:cs="Times New Roman"/>
          <w:sz w:val="26"/>
          <w:szCs w:val="26"/>
        </w:rPr>
      </w:pPr>
    </w:p>
    <w:p w:rsidR="008C6C00" w:rsidRPr="00BD1059" w:rsidRDefault="008C6C00" w:rsidP="008C6C00">
      <w:pPr>
        <w:shd w:val="clear" w:color="auto" w:fill="FFFFFF"/>
        <w:spacing w:after="0"/>
        <w:ind w:left="24" w:right="5" w:firstLine="706"/>
        <w:rPr>
          <w:rFonts w:eastAsia="Times New Roman" w:cs="Times New Roman"/>
          <w:b/>
          <w:bCs/>
          <w:sz w:val="26"/>
          <w:szCs w:val="26"/>
        </w:rPr>
      </w:pPr>
      <w:r w:rsidRPr="00BD1059">
        <w:rPr>
          <w:rFonts w:eastAsia="Times New Roman" w:cs="Times New Roman"/>
          <w:b/>
          <w:bCs/>
          <w:sz w:val="26"/>
          <w:szCs w:val="26"/>
        </w:rPr>
        <w:t>Вопрос 8. Согласно пункту 3.7. Указания № 3624-У «руководитель службы управления рисками координирует и контролирует работу всех подразделений (работников), осуществляющих функции управления рисками, а также специальных рабочих органов (комитетов), отвечающих за управление рисками, в случае их создания».</w:t>
      </w:r>
    </w:p>
    <w:p w:rsidR="008C6C00" w:rsidRPr="00BD1059" w:rsidRDefault="008C6C00" w:rsidP="008C6C00">
      <w:pPr>
        <w:shd w:val="clear" w:color="auto" w:fill="FFFFFF"/>
        <w:spacing w:after="0"/>
        <w:ind w:left="24" w:right="5" w:firstLine="706"/>
        <w:rPr>
          <w:rFonts w:eastAsia="Times New Roman" w:cs="Times New Roman"/>
          <w:b/>
          <w:bCs/>
          <w:sz w:val="26"/>
          <w:szCs w:val="26"/>
        </w:rPr>
      </w:pPr>
      <w:r w:rsidRPr="00BD1059">
        <w:rPr>
          <w:rFonts w:eastAsia="Times New Roman" w:cs="Times New Roman"/>
          <w:b/>
          <w:bCs/>
          <w:sz w:val="26"/>
          <w:szCs w:val="26"/>
        </w:rPr>
        <w:t xml:space="preserve">Просим </w:t>
      </w:r>
      <w:proofErr w:type="gramStart"/>
      <w:r w:rsidRPr="00BD1059">
        <w:rPr>
          <w:rFonts w:eastAsia="Times New Roman" w:cs="Times New Roman"/>
          <w:b/>
          <w:bCs/>
          <w:sz w:val="26"/>
          <w:szCs w:val="26"/>
        </w:rPr>
        <w:t>разъяснить</w:t>
      </w:r>
      <w:proofErr w:type="gramEnd"/>
      <w:r w:rsidRPr="00BD1059">
        <w:rPr>
          <w:rFonts w:eastAsia="Times New Roman" w:cs="Times New Roman"/>
          <w:b/>
          <w:bCs/>
          <w:sz w:val="26"/>
          <w:szCs w:val="26"/>
        </w:rPr>
        <w:t xml:space="preserve"> как банку реализовать координацию и контроль за регуляторным риском в соответствии с Указанием № 3624-У со стороны руководителя службы управления рисками, если в соответствии с Положением № 242-П служба внутреннего контроля (далее - СВК) «осуществляет функции, связанные с управлением регуляторным риском», и руководитель СВК подотчетен единоличному исполнительному органу кредитной организации?</w:t>
      </w:r>
    </w:p>
    <w:p w:rsidR="008C6C00" w:rsidRPr="00BD1059"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Pr="00BD1059">
        <w:rPr>
          <w:rFonts w:eastAsia="Times New Roman" w:cs="Times New Roman"/>
          <w:sz w:val="26"/>
          <w:szCs w:val="26"/>
        </w:rPr>
        <w:t>Требование о координации руководителем службы управления рисками работы всех подразделений, осуществляющих функции управления рисками, установленное пунктом 3.7 Указания Банка России № 3624-У, не распространяется на регуляторный риск, управление которым осуществляется службой внутреннего контроля в соответствии с разделом 4 (1) Положения Банка России от 16 декабря 2003 № 242-П «Об организации внутреннего контроля в кредитных организациях и банковских группах».</w:t>
      </w:r>
      <w:proofErr w:type="gramEnd"/>
      <w:r w:rsidRPr="00BD1059">
        <w:rPr>
          <w:rFonts w:eastAsia="Times New Roman" w:cs="Times New Roman"/>
          <w:sz w:val="26"/>
          <w:szCs w:val="26"/>
        </w:rPr>
        <w:t xml:space="preserve"> Указание Банка России № 3624-У не содержит требования о подчиненности руководителя службы внутреннего контроля руководителю службы управления рисками.</w:t>
      </w:r>
    </w:p>
    <w:p w:rsidR="008C6C00" w:rsidRPr="000F2666" w:rsidRDefault="008C6C00" w:rsidP="008C6C00">
      <w:pPr>
        <w:shd w:val="clear" w:color="auto" w:fill="FFFFFF"/>
        <w:spacing w:after="0"/>
        <w:ind w:left="24" w:right="5" w:firstLine="706"/>
        <w:rPr>
          <w:rFonts w:eastAsia="Times New Roman" w:cs="Times New Roman"/>
          <w:b/>
          <w:bCs/>
          <w:sz w:val="26"/>
          <w:szCs w:val="26"/>
        </w:rPr>
      </w:pPr>
    </w:p>
    <w:p w:rsidR="008C6C00" w:rsidRPr="00485CD2" w:rsidRDefault="008C6C00" w:rsidP="008C6C00">
      <w:pPr>
        <w:shd w:val="clear" w:color="auto" w:fill="FFFFFF"/>
        <w:spacing w:after="0"/>
        <w:ind w:left="24" w:right="5" w:firstLine="706"/>
        <w:rPr>
          <w:rFonts w:eastAsia="Times New Roman" w:cs="Times New Roman"/>
          <w:b/>
          <w:bCs/>
          <w:sz w:val="26"/>
          <w:szCs w:val="26"/>
        </w:rPr>
      </w:pPr>
      <w:r w:rsidRPr="00485CD2">
        <w:rPr>
          <w:rFonts w:eastAsia="Times New Roman" w:cs="Times New Roman"/>
          <w:b/>
          <w:bCs/>
          <w:sz w:val="26"/>
          <w:szCs w:val="26"/>
        </w:rPr>
        <w:t>Вопрос 9. Какие есть нововведения, и какие документы готовит Банк России:</w:t>
      </w:r>
    </w:p>
    <w:p w:rsidR="008C6C00" w:rsidRPr="00485CD2" w:rsidRDefault="008C6C00" w:rsidP="008C6C00">
      <w:pPr>
        <w:shd w:val="clear" w:color="auto" w:fill="FFFFFF"/>
        <w:spacing w:after="0"/>
        <w:ind w:left="24" w:right="5" w:firstLine="706"/>
        <w:rPr>
          <w:rFonts w:eastAsia="Times New Roman" w:cs="Times New Roman"/>
          <w:b/>
          <w:bCs/>
          <w:sz w:val="26"/>
          <w:szCs w:val="26"/>
        </w:rPr>
      </w:pPr>
      <w:r w:rsidRPr="00485CD2">
        <w:rPr>
          <w:rFonts w:eastAsia="Times New Roman" w:cs="Times New Roman"/>
          <w:b/>
          <w:bCs/>
          <w:sz w:val="26"/>
          <w:szCs w:val="26"/>
        </w:rPr>
        <w:t xml:space="preserve">по методикам </w:t>
      </w:r>
      <w:proofErr w:type="gramStart"/>
      <w:r w:rsidRPr="00485CD2">
        <w:rPr>
          <w:rFonts w:eastAsia="Times New Roman" w:cs="Times New Roman"/>
          <w:b/>
          <w:bCs/>
          <w:sz w:val="26"/>
          <w:szCs w:val="26"/>
        </w:rPr>
        <w:t>обратного</w:t>
      </w:r>
      <w:proofErr w:type="gramEnd"/>
      <w:r w:rsidRPr="00485CD2">
        <w:rPr>
          <w:rFonts w:eastAsia="Times New Roman" w:cs="Times New Roman"/>
          <w:b/>
          <w:bCs/>
          <w:sz w:val="26"/>
          <w:szCs w:val="26"/>
        </w:rPr>
        <w:t xml:space="preserve"> </w:t>
      </w:r>
      <w:proofErr w:type="spellStart"/>
      <w:r w:rsidRPr="00485CD2">
        <w:rPr>
          <w:rFonts w:eastAsia="Times New Roman" w:cs="Times New Roman"/>
          <w:b/>
          <w:bCs/>
          <w:sz w:val="26"/>
          <w:szCs w:val="26"/>
        </w:rPr>
        <w:t>стресс-тестирования</w:t>
      </w:r>
      <w:proofErr w:type="spellEnd"/>
      <w:r w:rsidRPr="00485CD2">
        <w:rPr>
          <w:rFonts w:eastAsia="Times New Roman" w:cs="Times New Roman"/>
          <w:b/>
          <w:bCs/>
          <w:sz w:val="26"/>
          <w:szCs w:val="26"/>
        </w:rPr>
        <w:t>,</w:t>
      </w:r>
    </w:p>
    <w:p w:rsidR="008C6C00" w:rsidRPr="00485CD2" w:rsidRDefault="008C6C00" w:rsidP="008C6C00">
      <w:pPr>
        <w:shd w:val="clear" w:color="auto" w:fill="FFFFFF"/>
        <w:spacing w:after="0"/>
        <w:ind w:left="24" w:right="5" w:firstLine="706"/>
        <w:rPr>
          <w:rFonts w:eastAsia="Times New Roman" w:cs="Times New Roman"/>
          <w:b/>
          <w:bCs/>
          <w:sz w:val="26"/>
          <w:szCs w:val="26"/>
        </w:rPr>
      </w:pPr>
      <w:r w:rsidRPr="00485CD2">
        <w:rPr>
          <w:rFonts w:eastAsia="Times New Roman" w:cs="Times New Roman"/>
          <w:b/>
          <w:bCs/>
          <w:sz w:val="26"/>
          <w:szCs w:val="26"/>
        </w:rPr>
        <w:t>по оценке операционного риска вместо базового индикативного подхода (В1А)?</w:t>
      </w:r>
    </w:p>
    <w:p w:rsidR="008C6C00" w:rsidRPr="00485CD2"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485CD2">
        <w:rPr>
          <w:rFonts w:eastAsia="Times New Roman" w:cs="Times New Roman"/>
          <w:sz w:val="26"/>
          <w:szCs w:val="26"/>
        </w:rPr>
        <w:t>В настоящее время рабочей группой БКБН по операционному риску (WGOR) ведутся активные работы по совершенствованию методологии расчета операционного риска в целях оценки достаточности капитала.</w:t>
      </w:r>
    </w:p>
    <w:p w:rsidR="008C6C00" w:rsidRPr="00485CD2" w:rsidRDefault="008C6C00" w:rsidP="008C6C00">
      <w:pPr>
        <w:shd w:val="clear" w:color="auto" w:fill="FFFFFF"/>
        <w:spacing w:after="0"/>
        <w:ind w:left="0" w:right="10" w:firstLine="538"/>
        <w:rPr>
          <w:rFonts w:eastAsia="Times New Roman" w:cs="Times New Roman"/>
          <w:sz w:val="26"/>
          <w:szCs w:val="26"/>
        </w:rPr>
      </w:pPr>
      <w:r w:rsidRPr="00485CD2">
        <w:rPr>
          <w:rFonts w:eastAsia="Times New Roman" w:cs="Times New Roman"/>
          <w:sz w:val="26"/>
          <w:szCs w:val="26"/>
        </w:rPr>
        <w:t xml:space="preserve">БКБН принято решение об исключении в ближайшее время АМА из периметра </w:t>
      </w:r>
      <w:proofErr w:type="spellStart"/>
      <w:r w:rsidRPr="00485CD2">
        <w:rPr>
          <w:rFonts w:eastAsia="Times New Roman" w:cs="Times New Roman"/>
          <w:sz w:val="26"/>
          <w:szCs w:val="26"/>
        </w:rPr>
        <w:t>Базельского</w:t>
      </w:r>
      <w:proofErr w:type="spellEnd"/>
      <w:r w:rsidRPr="00485CD2">
        <w:rPr>
          <w:rFonts w:eastAsia="Times New Roman" w:cs="Times New Roman"/>
          <w:sz w:val="26"/>
          <w:szCs w:val="26"/>
        </w:rPr>
        <w:t xml:space="preserve"> соглашения. В 2016-2017 предполагается внедрение единого методологического подхода, более простого, чем АМА, и более чувствительного к риску, чем текущие стандартизованные подходы. Этот универсальный подход будет сочетать в себе общеотраслевую продвинутую модель оценки операционного риска со статистикой операционных потерь конкретного банка за последние годы.</w:t>
      </w:r>
    </w:p>
    <w:p w:rsidR="008C6C00" w:rsidRPr="00485CD2" w:rsidRDefault="008C6C00" w:rsidP="008C6C00">
      <w:pPr>
        <w:shd w:val="clear" w:color="auto" w:fill="FFFFFF"/>
        <w:spacing w:after="0"/>
        <w:ind w:left="0" w:right="10" w:firstLine="538"/>
        <w:rPr>
          <w:rFonts w:eastAsia="Times New Roman" w:cs="Times New Roman"/>
          <w:sz w:val="26"/>
          <w:szCs w:val="26"/>
        </w:rPr>
      </w:pPr>
      <w:r w:rsidRPr="00485CD2">
        <w:rPr>
          <w:rFonts w:eastAsia="Times New Roman" w:cs="Times New Roman"/>
          <w:sz w:val="26"/>
          <w:szCs w:val="26"/>
        </w:rPr>
        <w:t>С учетом вышеизложенного Банк России полагает преждевременным внесение изменений в нормативную базу, регламентирующую порядок оценки операционного риска для целей оценки достаточности капитала. После принятия БКБН соответствующих изменений Банк России планирует их оценить и отразить в своих нормативных документах.</w:t>
      </w:r>
    </w:p>
    <w:p w:rsidR="008C6C00" w:rsidRPr="000F2666" w:rsidRDefault="008C6C00" w:rsidP="008C6C00">
      <w:pPr>
        <w:shd w:val="clear" w:color="auto" w:fill="FFFFFF"/>
        <w:spacing w:after="0"/>
        <w:ind w:left="24" w:right="5" w:firstLine="706"/>
        <w:rPr>
          <w:rFonts w:eastAsia="Times New Roman" w:cs="Times New Roman"/>
          <w:sz w:val="26"/>
          <w:szCs w:val="26"/>
        </w:rPr>
      </w:pPr>
    </w:p>
    <w:p w:rsidR="008C6C00" w:rsidRPr="00485CD2" w:rsidRDefault="008C6C00" w:rsidP="008C6C00">
      <w:pPr>
        <w:shd w:val="clear" w:color="auto" w:fill="FFFFFF"/>
        <w:spacing w:after="0"/>
        <w:ind w:left="24" w:right="5" w:firstLine="706"/>
        <w:rPr>
          <w:rFonts w:eastAsia="Times New Roman" w:cs="Times New Roman"/>
          <w:b/>
          <w:bCs/>
          <w:sz w:val="26"/>
          <w:szCs w:val="26"/>
        </w:rPr>
      </w:pPr>
      <w:r w:rsidRPr="00485CD2">
        <w:rPr>
          <w:rFonts w:eastAsia="Times New Roman" w:cs="Times New Roman"/>
          <w:b/>
          <w:bCs/>
          <w:sz w:val="26"/>
          <w:szCs w:val="26"/>
        </w:rPr>
        <w:t>Вопрос 10. Планируется ли разработка Банком России нормативных документов по вопросам управления регуляторным риском в кредитных организациях, если да, то когда?</w:t>
      </w:r>
    </w:p>
    <w:p w:rsidR="008C6C00" w:rsidRPr="000F2666"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485CD2">
        <w:rPr>
          <w:rFonts w:eastAsia="Times New Roman" w:cs="Times New Roman"/>
          <w:sz w:val="26"/>
          <w:szCs w:val="26"/>
        </w:rPr>
        <w:t>Банком России не планируется издание отдельных актов по вопросам управления регуляторным риском.</w:t>
      </w:r>
    </w:p>
    <w:p w:rsidR="008C6C00" w:rsidRPr="000F2666" w:rsidRDefault="008C6C00" w:rsidP="008C6C00">
      <w:pPr>
        <w:shd w:val="clear" w:color="auto" w:fill="FFFFFF"/>
        <w:spacing w:after="0"/>
        <w:ind w:left="0" w:right="10" w:firstLine="538"/>
        <w:rPr>
          <w:rFonts w:eastAsia="Times New Roman" w:cs="Times New Roman"/>
          <w:sz w:val="26"/>
          <w:szCs w:val="26"/>
        </w:rPr>
      </w:pPr>
    </w:p>
    <w:p w:rsidR="008C6C00" w:rsidRPr="00485CD2" w:rsidRDefault="008C6C00" w:rsidP="008C6C00">
      <w:pPr>
        <w:shd w:val="clear" w:color="auto" w:fill="FFFFFF"/>
        <w:spacing w:after="0"/>
        <w:ind w:left="24" w:right="5" w:firstLine="706"/>
        <w:rPr>
          <w:rFonts w:eastAsia="Times New Roman" w:cs="Times New Roman"/>
          <w:b/>
          <w:bCs/>
          <w:sz w:val="26"/>
          <w:szCs w:val="26"/>
        </w:rPr>
      </w:pPr>
      <w:r w:rsidRPr="00485CD2">
        <w:rPr>
          <w:rFonts w:eastAsia="Times New Roman" w:cs="Times New Roman"/>
          <w:b/>
          <w:bCs/>
          <w:sz w:val="26"/>
          <w:szCs w:val="26"/>
        </w:rPr>
        <w:t xml:space="preserve">Вопрос 11. Рассматривает ли Банк России вопрос о дополнении Положения № 242-П определением понятия «внутренний аудит», которое бы в полном объеме соответствовало подходам, отраженным в </w:t>
      </w:r>
      <w:proofErr w:type="spellStart"/>
      <w:r w:rsidRPr="00485CD2">
        <w:rPr>
          <w:rFonts w:eastAsia="Times New Roman" w:cs="Times New Roman"/>
          <w:b/>
          <w:bCs/>
          <w:sz w:val="26"/>
          <w:szCs w:val="26"/>
        </w:rPr>
        <w:t>Базельских</w:t>
      </w:r>
      <w:proofErr w:type="spellEnd"/>
      <w:r w:rsidRPr="00485CD2">
        <w:rPr>
          <w:rFonts w:eastAsia="Times New Roman" w:cs="Times New Roman"/>
          <w:b/>
          <w:bCs/>
          <w:sz w:val="26"/>
          <w:szCs w:val="26"/>
        </w:rPr>
        <w:t xml:space="preserve"> принципах и Международных стандартах внутреннего аудита?</w:t>
      </w:r>
    </w:p>
    <w:p w:rsidR="008C6C00" w:rsidRPr="00485CD2"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485CD2">
        <w:rPr>
          <w:rFonts w:eastAsia="Times New Roman" w:cs="Times New Roman"/>
          <w:sz w:val="26"/>
          <w:szCs w:val="26"/>
        </w:rPr>
        <w:t>Требования к организации деятельности, включая функции службы</w:t>
      </w:r>
      <w:r>
        <w:rPr>
          <w:rFonts w:eastAsia="Times New Roman" w:cs="Times New Roman"/>
          <w:sz w:val="28"/>
          <w:szCs w:val="28"/>
        </w:rPr>
        <w:t xml:space="preserve"> </w:t>
      </w:r>
      <w:r w:rsidRPr="00485CD2">
        <w:rPr>
          <w:rFonts w:eastAsia="Times New Roman" w:cs="Times New Roman"/>
          <w:sz w:val="26"/>
          <w:szCs w:val="26"/>
        </w:rPr>
        <w:t>внутреннего аудита, по нашему мнению, соответствуют международным подходам, в том числе стандартам БКБН.</w:t>
      </w:r>
    </w:p>
    <w:p w:rsidR="008C6C00" w:rsidRPr="00485CD2" w:rsidRDefault="008C6C00" w:rsidP="008C6C00">
      <w:pPr>
        <w:shd w:val="clear" w:color="auto" w:fill="FFFFFF"/>
        <w:spacing w:after="0"/>
        <w:ind w:left="0" w:right="10" w:firstLine="538"/>
        <w:rPr>
          <w:rFonts w:eastAsia="Times New Roman" w:cs="Times New Roman"/>
          <w:sz w:val="26"/>
          <w:szCs w:val="26"/>
        </w:rPr>
      </w:pPr>
      <w:r w:rsidRPr="00485CD2">
        <w:rPr>
          <w:rFonts w:eastAsia="Times New Roman" w:cs="Times New Roman"/>
          <w:sz w:val="26"/>
          <w:szCs w:val="26"/>
        </w:rPr>
        <w:t>Представляется, что отсутствие в Положении № 242-П определения понятия «внутренний аудит» не должно создавать для банков практических сложностей в организации внутреннего аудита.</w:t>
      </w:r>
    </w:p>
    <w:p w:rsidR="008C6C00" w:rsidRPr="00485CD2" w:rsidRDefault="008C6C00" w:rsidP="008C6C00">
      <w:pPr>
        <w:shd w:val="clear" w:color="auto" w:fill="FFFFFF"/>
        <w:spacing w:after="0"/>
        <w:ind w:left="24" w:right="5" w:firstLine="706"/>
        <w:rPr>
          <w:rFonts w:eastAsia="Times New Roman" w:cs="Times New Roman"/>
          <w:sz w:val="26"/>
          <w:szCs w:val="26"/>
        </w:rPr>
      </w:pPr>
    </w:p>
    <w:p w:rsidR="008C6C00" w:rsidRPr="00546010" w:rsidRDefault="008C6C00" w:rsidP="008C6C00">
      <w:pPr>
        <w:shd w:val="clear" w:color="auto" w:fill="FFFFFF"/>
        <w:spacing w:after="0"/>
        <w:ind w:left="24" w:right="5" w:firstLine="706"/>
        <w:rPr>
          <w:rFonts w:eastAsia="Times New Roman" w:cs="Times New Roman"/>
          <w:b/>
          <w:bCs/>
          <w:sz w:val="26"/>
          <w:szCs w:val="26"/>
        </w:rPr>
      </w:pPr>
      <w:r w:rsidRPr="00546010">
        <w:rPr>
          <w:rFonts w:eastAsia="Times New Roman" w:cs="Times New Roman"/>
          <w:b/>
          <w:bCs/>
          <w:sz w:val="26"/>
          <w:szCs w:val="26"/>
        </w:rPr>
        <w:t xml:space="preserve">Вопрос 12. </w:t>
      </w:r>
      <w:proofErr w:type="gramStart"/>
      <w:r w:rsidRPr="00546010">
        <w:rPr>
          <w:rFonts w:eastAsia="Times New Roman" w:cs="Times New Roman"/>
          <w:b/>
          <w:bCs/>
          <w:sz w:val="26"/>
          <w:szCs w:val="26"/>
        </w:rPr>
        <w:t xml:space="preserve">Планирует ли Банк России дополнить Положение № 242-П (возможно и другие нормативно-правовые акты) положениями, закрепляющими подчиненность функции внутреннего аудита внутри </w:t>
      </w:r>
      <w:r w:rsidRPr="00546010">
        <w:rPr>
          <w:rFonts w:eastAsia="Times New Roman" w:cs="Times New Roman"/>
          <w:b/>
          <w:bCs/>
          <w:sz w:val="26"/>
          <w:szCs w:val="26"/>
        </w:rPr>
        <w:lastRenderedPageBreak/>
        <w:t xml:space="preserve">банковских холдингов с предоставлением права службе внутреннего аудита кредитной организации права при планировании своей деятельности учитывать результаты проверок службы внутреннего аудита банковского холдинга, что полностью соответствует </w:t>
      </w:r>
      <w:proofErr w:type="spellStart"/>
      <w:r w:rsidRPr="00546010">
        <w:rPr>
          <w:rFonts w:eastAsia="Times New Roman" w:cs="Times New Roman"/>
          <w:b/>
          <w:bCs/>
          <w:sz w:val="26"/>
          <w:szCs w:val="26"/>
        </w:rPr>
        <w:t>Базельским</w:t>
      </w:r>
      <w:proofErr w:type="spellEnd"/>
      <w:r w:rsidRPr="00546010">
        <w:rPr>
          <w:rFonts w:eastAsia="Times New Roman" w:cs="Times New Roman"/>
          <w:b/>
          <w:bCs/>
          <w:sz w:val="26"/>
          <w:szCs w:val="26"/>
        </w:rPr>
        <w:t xml:space="preserve"> подходам к организации внутреннего аудита?</w:t>
      </w:r>
      <w:proofErr w:type="gramEnd"/>
    </w:p>
    <w:p w:rsidR="008C6C00" w:rsidRPr="00546010"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546010">
        <w:rPr>
          <w:rFonts w:eastAsia="Times New Roman" w:cs="Times New Roman"/>
          <w:sz w:val="26"/>
          <w:szCs w:val="26"/>
        </w:rPr>
        <w:t>В отсутствие у Банка России полномочий по надзору за банковскими холдингами представляется нецелесообразным устанавливать требования к организации внутреннего аудита в банковских холдингах. Следует при этом отметить, что Положение № 242-П не препятствует службе внутреннего аудита кредитной организации при планировании своей деятельности учитывать результаты проверок службы внутреннего аудита банковского холдинга.</w:t>
      </w:r>
    </w:p>
    <w:p w:rsidR="008C6C00" w:rsidRPr="00485CD2" w:rsidRDefault="008C6C00" w:rsidP="008C6C00">
      <w:pPr>
        <w:shd w:val="clear" w:color="auto" w:fill="FFFFFF"/>
        <w:spacing w:after="0"/>
        <w:ind w:left="24" w:right="5" w:firstLine="706"/>
        <w:rPr>
          <w:rFonts w:eastAsia="Times New Roman" w:cs="Times New Roman"/>
          <w:sz w:val="26"/>
          <w:szCs w:val="26"/>
        </w:rPr>
      </w:pPr>
    </w:p>
    <w:p w:rsidR="008C6C00" w:rsidRDefault="008C6C00" w:rsidP="008C6C00">
      <w:pPr>
        <w:shd w:val="clear" w:color="auto" w:fill="FFFFFF"/>
        <w:spacing w:before="182" w:line="485" w:lineRule="exact"/>
        <w:ind w:left="1075" w:right="518" w:hanging="394"/>
      </w:pPr>
      <w:r>
        <w:rPr>
          <w:rFonts w:eastAsia="Times New Roman" w:cs="Times New Roman"/>
          <w:i/>
          <w:iCs/>
          <w:spacing w:val="-2"/>
          <w:sz w:val="28"/>
          <w:szCs w:val="28"/>
          <w:u w:val="single"/>
        </w:rPr>
        <w:t xml:space="preserve">Раздел </w:t>
      </w:r>
      <w:r>
        <w:rPr>
          <w:rFonts w:eastAsia="Times New Roman" w:cs="Times New Roman"/>
          <w:i/>
          <w:iCs/>
          <w:spacing w:val="-2"/>
          <w:sz w:val="28"/>
          <w:szCs w:val="28"/>
          <w:u w:val="single"/>
          <w:lang w:val="en-US"/>
        </w:rPr>
        <w:t>VII</w:t>
      </w:r>
      <w:r w:rsidRPr="00396803">
        <w:rPr>
          <w:rFonts w:eastAsia="Times New Roman" w:cs="Times New Roman"/>
          <w:i/>
          <w:iCs/>
          <w:spacing w:val="-2"/>
          <w:sz w:val="28"/>
          <w:szCs w:val="28"/>
          <w:u w:val="single"/>
        </w:rPr>
        <w:t xml:space="preserve">: </w:t>
      </w:r>
      <w:r>
        <w:rPr>
          <w:rFonts w:eastAsia="Times New Roman" w:cs="Times New Roman"/>
          <w:i/>
          <w:iCs/>
          <w:spacing w:val="-2"/>
          <w:sz w:val="28"/>
          <w:szCs w:val="28"/>
          <w:u w:val="single"/>
        </w:rPr>
        <w:t xml:space="preserve">Вопросы, возникающие в рамках внедрения проекта по </w:t>
      </w:r>
      <w:r>
        <w:rPr>
          <w:rFonts w:eastAsia="Times New Roman" w:cs="Times New Roman"/>
          <w:i/>
          <w:iCs/>
          <w:sz w:val="28"/>
          <w:szCs w:val="28"/>
          <w:u w:val="single"/>
        </w:rPr>
        <w:t>Внутренней процедуре по оценке достаточности капитала</w:t>
      </w:r>
    </w:p>
    <w:p w:rsidR="008C6C00" w:rsidRPr="00875DF0" w:rsidRDefault="008C6C00" w:rsidP="008C6C00">
      <w:pPr>
        <w:shd w:val="clear" w:color="auto" w:fill="FFFFFF"/>
        <w:spacing w:after="0"/>
        <w:ind w:left="24" w:right="5" w:firstLine="706"/>
        <w:rPr>
          <w:rFonts w:eastAsia="Times New Roman" w:cs="Times New Roman"/>
          <w:b/>
          <w:bCs/>
          <w:sz w:val="26"/>
          <w:szCs w:val="26"/>
        </w:rPr>
      </w:pPr>
      <w:r w:rsidRPr="00875DF0">
        <w:rPr>
          <w:rFonts w:eastAsia="Times New Roman" w:cs="Times New Roman"/>
          <w:b/>
          <w:bCs/>
          <w:sz w:val="26"/>
          <w:szCs w:val="26"/>
        </w:rPr>
        <w:t>Вопрос 1. В какие сроки Банк России планирует опубликовать подробные разъяснения по внутренним процедурам оценки достаточности капитала (Указание ЦБ РФ № 3624-У), в том числе по определению требований к капиталу для покрытия риска концентрации, полный или сокращенный формат отчетности по рискам, периодичность (ежемесячно или ежеквартально) отчетности по рискам, предоставляемой Правлению и Наблюдательному совету?</w:t>
      </w:r>
    </w:p>
    <w:p w:rsidR="008C6C00" w:rsidRPr="00875DF0" w:rsidRDefault="008C6C00" w:rsidP="008C6C00">
      <w:pPr>
        <w:shd w:val="clear" w:color="auto" w:fill="FFFFFF"/>
        <w:spacing w:after="0"/>
        <w:ind w:left="24" w:right="5" w:firstLine="706"/>
        <w:rPr>
          <w:rFonts w:eastAsia="Times New Roman" w:cs="Times New Roman"/>
          <w:b/>
          <w:bCs/>
          <w:sz w:val="26"/>
          <w:szCs w:val="26"/>
        </w:rPr>
      </w:pPr>
      <w:r w:rsidRPr="00875DF0">
        <w:rPr>
          <w:rFonts w:eastAsia="Times New Roman" w:cs="Times New Roman"/>
          <w:b/>
          <w:bCs/>
          <w:sz w:val="26"/>
          <w:szCs w:val="26"/>
        </w:rPr>
        <w:t>Вопрос 12. Каким содержанием должны быть наполнены внутренние отчетности и отчетности для ЦБ РФ, предоставляемые в рамках ВПОДК?</w:t>
      </w:r>
    </w:p>
    <w:p w:rsidR="008C6C00" w:rsidRPr="00875DF0"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875DF0">
        <w:rPr>
          <w:rFonts w:eastAsia="Times New Roman" w:cs="Times New Roman"/>
          <w:sz w:val="26"/>
          <w:szCs w:val="26"/>
        </w:rPr>
        <w:t>Указание Банка России № 3634-У уже определяет требования к организации ВПОДК, в том числе подходы к определению требований к капиталу для покрытия риска концентрации. В главе 6 Указания содержатся подробные требования к составу, содержанию и периодичности представления органам управления внутренней отчетности, формируемой кредитными организациями в рамках ВПОДК. В связи с этим разработка отдельных документов Банком России в этой части не планируется.</w:t>
      </w:r>
    </w:p>
    <w:p w:rsidR="008C6C00" w:rsidRPr="00875DF0" w:rsidRDefault="008C6C00" w:rsidP="008C6C00">
      <w:pPr>
        <w:shd w:val="clear" w:color="auto" w:fill="FFFFFF"/>
        <w:spacing w:after="0"/>
        <w:ind w:left="0" w:right="10" w:firstLine="538"/>
        <w:rPr>
          <w:rFonts w:eastAsia="Times New Roman" w:cs="Times New Roman"/>
          <w:sz w:val="26"/>
          <w:szCs w:val="26"/>
        </w:rPr>
      </w:pPr>
      <w:r w:rsidRPr="00875DF0">
        <w:rPr>
          <w:rFonts w:eastAsia="Times New Roman" w:cs="Times New Roman"/>
          <w:sz w:val="26"/>
          <w:szCs w:val="26"/>
        </w:rPr>
        <w:t>В текущем году будет разработана форма ежегодной отчетности о результатах ВПОДК, которую кредитные организации (головные кредитные организации банковских групп) будут представлять в Банк России.</w:t>
      </w:r>
    </w:p>
    <w:p w:rsidR="008C6C00" w:rsidRPr="000F2666" w:rsidRDefault="008C6C00" w:rsidP="008C6C00">
      <w:pPr>
        <w:shd w:val="clear" w:color="auto" w:fill="FFFFFF"/>
        <w:spacing w:after="0"/>
        <w:ind w:left="24" w:right="5" w:firstLine="706"/>
        <w:rPr>
          <w:rFonts w:eastAsia="Times New Roman" w:cs="Times New Roman"/>
          <w:b/>
          <w:bCs/>
          <w:sz w:val="26"/>
          <w:szCs w:val="26"/>
        </w:rPr>
      </w:pPr>
    </w:p>
    <w:p w:rsidR="008C6C00" w:rsidRPr="002B5360" w:rsidRDefault="008C6C00" w:rsidP="008C6C00">
      <w:pPr>
        <w:shd w:val="clear" w:color="auto" w:fill="FFFFFF"/>
        <w:spacing w:after="0"/>
        <w:ind w:left="24" w:right="5" w:firstLine="706"/>
        <w:rPr>
          <w:rFonts w:eastAsia="Times New Roman" w:cs="Times New Roman"/>
          <w:b/>
          <w:bCs/>
          <w:sz w:val="26"/>
          <w:szCs w:val="26"/>
        </w:rPr>
      </w:pPr>
      <w:r w:rsidRPr="002B5360">
        <w:rPr>
          <w:rFonts w:eastAsia="Times New Roman" w:cs="Times New Roman"/>
          <w:b/>
          <w:bCs/>
          <w:sz w:val="26"/>
          <w:szCs w:val="26"/>
        </w:rPr>
        <w:t xml:space="preserve">Вопрос 2. В соответствии с Указанием № 3624-У банки с активами &gt;500 млрд. руб. должны реализовать групповые процедуры ВПОДК к 31.12.2016. В то же время новые требования раскрытия информации согласно 3876-У вступают в силу уже сейчас, начиная с раскрытия на 01.01.2016. Может ли система управления рисками группы предусматривать индивидуальное управление рисками в банках Группы различных юрисдикции без </w:t>
      </w:r>
      <w:r w:rsidRPr="002B5360">
        <w:rPr>
          <w:rFonts w:eastAsia="Times New Roman" w:cs="Times New Roman"/>
          <w:b/>
          <w:bCs/>
          <w:sz w:val="26"/>
          <w:szCs w:val="26"/>
        </w:rPr>
        <w:lastRenderedPageBreak/>
        <w:t>существенного вмешательства головной кредитной организации и установления контроля на уровне отчетности? Предлагается в раскрытии информации до 01.01.2017(18) не описывать групповые процедуры до установления групповых процедур ВПОДК (в зависимости от размера Банка). При этом раскрывать управление рисками в Банках группы на соло-уровне.</w:t>
      </w:r>
    </w:p>
    <w:p w:rsidR="008C6C00" w:rsidRPr="002B5360"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2B5360">
        <w:rPr>
          <w:rFonts w:eastAsia="Times New Roman" w:cs="Times New Roman"/>
          <w:sz w:val="26"/>
          <w:szCs w:val="26"/>
        </w:rPr>
        <w:t>До приведения процедур управления рисками на групповом уровне в соответствие с требованиями Указания Банка России № 3624-У головной кредитной организации банковской группы следует раскрывать информацию о процедурах управления рисками, применяемых на отчетную дату, то есть приводить актуальную информацию о том, каким образом осуществляются процедуры управления рисками в группе.</w:t>
      </w:r>
    </w:p>
    <w:p w:rsidR="008C6C00" w:rsidRPr="002B5360" w:rsidRDefault="008C6C00" w:rsidP="008C6C00">
      <w:pPr>
        <w:shd w:val="clear" w:color="auto" w:fill="FFFFFF"/>
        <w:spacing w:after="0"/>
        <w:ind w:left="24" w:right="5" w:firstLine="706"/>
        <w:rPr>
          <w:rFonts w:eastAsia="Times New Roman" w:cs="Times New Roman"/>
          <w:b/>
          <w:bCs/>
          <w:sz w:val="26"/>
          <w:szCs w:val="26"/>
        </w:rPr>
      </w:pPr>
    </w:p>
    <w:p w:rsidR="008C6C00" w:rsidRPr="004F361A" w:rsidRDefault="008C6C00" w:rsidP="008C6C00">
      <w:pPr>
        <w:shd w:val="clear" w:color="auto" w:fill="FFFFFF"/>
        <w:spacing w:after="0"/>
        <w:ind w:left="24" w:right="5" w:firstLine="706"/>
        <w:rPr>
          <w:rFonts w:eastAsia="Times New Roman" w:cs="Times New Roman"/>
          <w:b/>
          <w:bCs/>
          <w:sz w:val="26"/>
          <w:szCs w:val="26"/>
        </w:rPr>
      </w:pPr>
      <w:r w:rsidRPr="004F361A">
        <w:rPr>
          <w:rFonts w:eastAsia="Times New Roman" w:cs="Times New Roman"/>
          <w:b/>
          <w:bCs/>
          <w:sz w:val="26"/>
          <w:szCs w:val="26"/>
        </w:rPr>
        <w:t>Вопрос 3. Необходимо ли реализовывать процедуры ВПОДК для санируемых банков (Указание № 3624-У)? В случае наличия в составе банковской группы кредитной организации, находящейся под санацией, предлагается установить два периода реализации ВПОДК на индивидуальном уровне:</w:t>
      </w:r>
    </w:p>
    <w:p w:rsidR="008C6C00" w:rsidRPr="004F361A" w:rsidRDefault="008C6C00" w:rsidP="008C6C00">
      <w:pPr>
        <w:shd w:val="clear" w:color="auto" w:fill="FFFFFF"/>
        <w:spacing w:after="0"/>
        <w:ind w:left="24" w:right="5" w:firstLine="706"/>
        <w:rPr>
          <w:rFonts w:eastAsia="Times New Roman" w:cs="Times New Roman"/>
          <w:b/>
          <w:bCs/>
          <w:sz w:val="26"/>
          <w:szCs w:val="26"/>
        </w:rPr>
      </w:pPr>
      <w:r w:rsidRPr="004F361A">
        <w:rPr>
          <w:rFonts w:eastAsia="Times New Roman" w:cs="Times New Roman"/>
          <w:b/>
          <w:bCs/>
          <w:sz w:val="26"/>
          <w:szCs w:val="26"/>
        </w:rPr>
        <w:t xml:space="preserve">Период 1 (срок: до завершения санации банка по Плану восстановления). В срок до даты, указанной в плане восстановления как завершение санации, КО обеспечивает совместно с головной </w:t>
      </w:r>
      <w:proofErr w:type="gramStart"/>
      <w:r w:rsidRPr="004F361A">
        <w:rPr>
          <w:rFonts w:eastAsia="Times New Roman" w:cs="Times New Roman"/>
          <w:b/>
          <w:bCs/>
          <w:sz w:val="26"/>
          <w:szCs w:val="26"/>
        </w:rPr>
        <w:t>КО</w:t>
      </w:r>
      <w:proofErr w:type="gramEnd"/>
      <w:r w:rsidRPr="004F361A">
        <w:rPr>
          <w:rFonts w:eastAsia="Times New Roman" w:cs="Times New Roman"/>
          <w:b/>
          <w:bCs/>
          <w:sz w:val="26"/>
          <w:szCs w:val="26"/>
        </w:rPr>
        <w:t xml:space="preserve"> выполнение плана восстановления и показатели КО учитываются при оценке достаточности капитала на уровне банковской группы согласно регуляторным подходам. Процедуры управления рисками и капиталом в </w:t>
      </w:r>
      <w:proofErr w:type="gramStart"/>
      <w:r w:rsidRPr="004F361A">
        <w:rPr>
          <w:rFonts w:eastAsia="Times New Roman" w:cs="Times New Roman"/>
          <w:b/>
          <w:bCs/>
          <w:sz w:val="26"/>
          <w:szCs w:val="26"/>
        </w:rPr>
        <w:t>КО</w:t>
      </w:r>
      <w:proofErr w:type="gramEnd"/>
      <w:r w:rsidRPr="004F361A">
        <w:rPr>
          <w:rFonts w:eastAsia="Times New Roman" w:cs="Times New Roman"/>
          <w:b/>
          <w:bCs/>
          <w:sz w:val="26"/>
          <w:szCs w:val="26"/>
        </w:rPr>
        <w:t xml:space="preserve"> направлены на выполнение плана восстановления.</w:t>
      </w:r>
    </w:p>
    <w:p w:rsidR="008C6C00" w:rsidRPr="004F361A" w:rsidRDefault="008C6C00" w:rsidP="008C6C00">
      <w:pPr>
        <w:shd w:val="clear" w:color="auto" w:fill="FFFFFF"/>
        <w:spacing w:after="0"/>
        <w:ind w:left="24" w:right="5" w:firstLine="706"/>
        <w:rPr>
          <w:rFonts w:eastAsia="Times New Roman" w:cs="Times New Roman"/>
          <w:b/>
          <w:bCs/>
          <w:sz w:val="26"/>
          <w:szCs w:val="26"/>
        </w:rPr>
      </w:pPr>
      <w:r w:rsidRPr="004F361A">
        <w:rPr>
          <w:rFonts w:eastAsia="Times New Roman" w:cs="Times New Roman"/>
          <w:b/>
          <w:bCs/>
          <w:sz w:val="26"/>
          <w:szCs w:val="26"/>
        </w:rPr>
        <w:t xml:space="preserve">Период 2 (срок: начиная </w:t>
      </w:r>
      <w:proofErr w:type="gramStart"/>
      <w:r w:rsidRPr="004F361A">
        <w:rPr>
          <w:rFonts w:eastAsia="Times New Roman" w:cs="Times New Roman"/>
          <w:b/>
          <w:bCs/>
          <w:sz w:val="26"/>
          <w:szCs w:val="26"/>
        </w:rPr>
        <w:t>с даты завершения</w:t>
      </w:r>
      <w:proofErr w:type="gramEnd"/>
      <w:r w:rsidRPr="004F361A">
        <w:rPr>
          <w:rFonts w:eastAsia="Times New Roman" w:cs="Times New Roman"/>
          <w:b/>
          <w:bCs/>
          <w:sz w:val="26"/>
          <w:szCs w:val="26"/>
        </w:rPr>
        <w:t xml:space="preserve"> санации по Плану восстановления). Начиная с даты завершения </w:t>
      </w:r>
      <w:proofErr w:type="gramStart"/>
      <w:r w:rsidRPr="004F361A">
        <w:rPr>
          <w:rFonts w:eastAsia="Times New Roman" w:cs="Times New Roman"/>
          <w:b/>
          <w:bCs/>
          <w:sz w:val="26"/>
          <w:szCs w:val="26"/>
        </w:rPr>
        <w:t>санации</w:t>
      </w:r>
      <w:proofErr w:type="gramEnd"/>
      <w:r w:rsidRPr="004F361A">
        <w:rPr>
          <w:rFonts w:eastAsia="Times New Roman" w:cs="Times New Roman"/>
          <w:b/>
          <w:bCs/>
          <w:sz w:val="26"/>
          <w:szCs w:val="26"/>
        </w:rPr>
        <w:t xml:space="preserve"> кредитная организация реализует ВПОДК на индивидуальном уровне согласно групповым подходам.</w:t>
      </w:r>
    </w:p>
    <w:p w:rsidR="008C6C00" w:rsidRPr="004F361A"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4F361A">
        <w:rPr>
          <w:rFonts w:eastAsia="Times New Roman" w:cs="Times New Roman"/>
          <w:sz w:val="26"/>
          <w:szCs w:val="26"/>
        </w:rPr>
        <w:t>Как в период санации, так и после ее завершения, в случае если санируемый банк входит в состав банковской группы, ВПОДК должны реализовываться как на групповом уровне головной кредитной организацией банковской группы, так и на индивидуальном уровне всеми кредитными организациями - участниками банковской группы, включая санируемый банк.</w:t>
      </w:r>
    </w:p>
    <w:p w:rsidR="008C6C00" w:rsidRPr="004F361A" w:rsidRDefault="008C6C00" w:rsidP="008C6C00">
      <w:pPr>
        <w:shd w:val="clear" w:color="auto" w:fill="FFFFFF"/>
        <w:spacing w:after="0"/>
        <w:ind w:left="24" w:right="5" w:firstLine="706"/>
        <w:rPr>
          <w:rFonts w:eastAsia="Times New Roman" w:cs="Times New Roman"/>
          <w:b/>
          <w:bCs/>
          <w:sz w:val="26"/>
          <w:szCs w:val="26"/>
        </w:rPr>
      </w:pPr>
    </w:p>
    <w:p w:rsidR="008C6C00" w:rsidRPr="002F5FD0" w:rsidRDefault="008C6C00" w:rsidP="008C6C00">
      <w:pPr>
        <w:shd w:val="clear" w:color="auto" w:fill="FFFFFF"/>
        <w:spacing w:after="0"/>
        <w:ind w:left="24" w:right="5" w:firstLine="706"/>
        <w:rPr>
          <w:rFonts w:eastAsia="Times New Roman" w:cs="Times New Roman"/>
          <w:b/>
          <w:bCs/>
          <w:sz w:val="26"/>
          <w:szCs w:val="26"/>
        </w:rPr>
      </w:pPr>
      <w:r w:rsidRPr="002F5FD0">
        <w:rPr>
          <w:rFonts w:eastAsia="Times New Roman" w:cs="Times New Roman"/>
          <w:b/>
          <w:bCs/>
          <w:sz w:val="26"/>
          <w:szCs w:val="26"/>
        </w:rPr>
        <w:t>Вопрос 4. Какова общая схема процесса по управлению рисками в рамках ВПОДК (структура ВПОДК)?</w:t>
      </w:r>
    </w:p>
    <w:p w:rsidR="008C6C00" w:rsidRPr="000F2666"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2F5FD0">
        <w:rPr>
          <w:rFonts w:eastAsia="Times New Roman" w:cs="Times New Roman"/>
          <w:sz w:val="26"/>
          <w:szCs w:val="26"/>
        </w:rPr>
        <w:t>Подробное описание системы управления рисками и требования к ее организации приведены в главе 3  Указания № 3624-У. В  данной главе определены как требования к организации процедур управления рисками, так и роль органов управления кредитной организации, руководителей и работников службы управления рисками.</w:t>
      </w:r>
    </w:p>
    <w:p w:rsidR="008C6C00" w:rsidRPr="00FB35F5" w:rsidRDefault="008C6C00" w:rsidP="008C6C00">
      <w:pPr>
        <w:shd w:val="clear" w:color="auto" w:fill="FFFFFF"/>
        <w:spacing w:after="0"/>
        <w:ind w:left="0" w:right="10" w:firstLine="538"/>
        <w:rPr>
          <w:rFonts w:eastAsia="Times New Roman" w:cs="Times New Roman"/>
          <w:sz w:val="26"/>
          <w:szCs w:val="26"/>
        </w:rPr>
      </w:pPr>
      <w:r w:rsidRPr="00FB35F5">
        <w:rPr>
          <w:rFonts w:eastAsia="Times New Roman" w:cs="Times New Roman"/>
          <w:sz w:val="26"/>
          <w:szCs w:val="26"/>
        </w:rPr>
        <w:lastRenderedPageBreak/>
        <w:t>Структура ВПОДК и основные требования к организации ВПОДК, а также роль органов управления в разработке и организации ВПОДК подробно рассматриваются в главе 2 Указания № 3624-У.</w:t>
      </w:r>
    </w:p>
    <w:p w:rsidR="008C6C00" w:rsidRPr="00FB35F5" w:rsidRDefault="008C6C00" w:rsidP="008C6C00">
      <w:pPr>
        <w:shd w:val="clear" w:color="auto" w:fill="FFFFFF"/>
        <w:spacing w:after="0"/>
        <w:ind w:left="0" w:right="10" w:firstLine="538"/>
        <w:rPr>
          <w:rFonts w:eastAsia="Times New Roman" w:cs="Times New Roman"/>
          <w:sz w:val="26"/>
          <w:szCs w:val="26"/>
        </w:rPr>
      </w:pPr>
    </w:p>
    <w:p w:rsidR="008C6C00" w:rsidRPr="00FB35F5" w:rsidRDefault="008C6C00" w:rsidP="008C6C00">
      <w:pPr>
        <w:shd w:val="clear" w:color="auto" w:fill="FFFFFF"/>
        <w:spacing w:after="0"/>
        <w:ind w:left="24" w:right="5" w:firstLine="706"/>
        <w:rPr>
          <w:rFonts w:eastAsia="Times New Roman" w:cs="Times New Roman"/>
          <w:b/>
          <w:bCs/>
          <w:sz w:val="26"/>
          <w:szCs w:val="26"/>
        </w:rPr>
      </w:pPr>
      <w:r w:rsidRPr="00FB35F5">
        <w:rPr>
          <w:rFonts w:eastAsia="Times New Roman" w:cs="Times New Roman"/>
          <w:b/>
          <w:bCs/>
          <w:sz w:val="26"/>
          <w:szCs w:val="26"/>
        </w:rPr>
        <w:t>Вопрос 5. Каким и какого рода содержанием должен быть наполнен ключевой внутренний нормативный документ Банка по ВПОДК? Помимо этого ключевого документа, какие еще документы должны быть разработаны в рамках проекта по ВПОДК?</w:t>
      </w:r>
    </w:p>
    <w:p w:rsidR="008C6C00" w:rsidRPr="00FB35F5"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FB35F5">
        <w:rPr>
          <w:rFonts w:eastAsia="Times New Roman" w:cs="Times New Roman"/>
          <w:sz w:val="26"/>
          <w:szCs w:val="26"/>
        </w:rPr>
        <w:t xml:space="preserve">Требования к внутренним документам, разрабатываемым кредитной организацией в рамках ВПОДК, установлены главой 7 Указания № 3624-У. В кредитной организации должна быть разработана стратегия управления рисками и капиталом, базирующаяся на стратегии развития, процедуры управления отдельными видами рисков и оценки достаточности капитала, а также процедуры </w:t>
      </w:r>
      <w:proofErr w:type="spellStart"/>
      <w:proofErr w:type="gramStart"/>
      <w:r w:rsidRPr="00FB35F5">
        <w:rPr>
          <w:rFonts w:eastAsia="Times New Roman" w:cs="Times New Roman"/>
          <w:sz w:val="26"/>
          <w:szCs w:val="26"/>
        </w:rPr>
        <w:t>стресс-тестирования</w:t>
      </w:r>
      <w:proofErr w:type="spellEnd"/>
      <w:proofErr w:type="gramEnd"/>
      <w:r w:rsidRPr="00FB35F5">
        <w:rPr>
          <w:rFonts w:eastAsia="Times New Roman" w:cs="Times New Roman"/>
          <w:sz w:val="26"/>
          <w:szCs w:val="26"/>
        </w:rPr>
        <w:t>.</w:t>
      </w:r>
    </w:p>
    <w:p w:rsidR="008C6C00" w:rsidRPr="00FB35F5" w:rsidRDefault="008C6C00" w:rsidP="008C6C00">
      <w:pPr>
        <w:shd w:val="clear" w:color="auto" w:fill="FFFFFF"/>
        <w:spacing w:after="0"/>
        <w:ind w:left="0" w:right="10" w:firstLine="538"/>
        <w:rPr>
          <w:rFonts w:eastAsia="Times New Roman" w:cs="Times New Roman"/>
          <w:sz w:val="26"/>
          <w:szCs w:val="26"/>
        </w:rPr>
      </w:pPr>
      <w:proofErr w:type="gramStart"/>
      <w:r w:rsidRPr="00FB35F5">
        <w:rPr>
          <w:rFonts w:eastAsia="Times New Roman" w:cs="Times New Roman"/>
          <w:sz w:val="26"/>
          <w:szCs w:val="26"/>
        </w:rPr>
        <w:t xml:space="preserve">Стратегия управления рисками и капиталом, в том числе, определяет структуру органов управления и подразделений кредитной организации, осуществляющих функции, связанные с управлением рисками и капиталом, организацию контроля со стороны органов управления кредитной организации за выполнением ВПОДК и их эффективностью, склонность к риску и направления ее распределения, плановую структуру капитала, целевые уровни и структуру рисков, сценарии </w:t>
      </w:r>
      <w:proofErr w:type="spellStart"/>
      <w:r w:rsidRPr="00FB35F5">
        <w:rPr>
          <w:rFonts w:eastAsia="Times New Roman" w:cs="Times New Roman"/>
          <w:sz w:val="26"/>
          <w:szCs w:val="26"/>
        </w:rPr>
        <w:t>стресс-тестирования</w:t>
      </w:r>
      <w:proofErr w:type="spellEnd"/>
      <w:r w:rsidRPr="00FB35F5">
        <w:rPr>
          <w:rFonts w:eastAsia="Times New Roman" w:cs="Times New Roman"/>
          <w:sz w:val="26"/>
          <w:szCs w:val="26"/>
        </w:rPr>
        <w:t>.</w:t>
      </w:r>
      <w:proofErr w:type="gramEnd"/>
    </w:p>
    <w:p w:rsidR="008C6C00" w:rsidRPr="00FB35F5" w:rsidRDefault="008C6C00" w:rsidP="008C6C00">
      <w:pPr>
        <w:shd w:val="clear" w:color="auto" w:fill="FFFFFF"/>
        <w:spacing w:after="0"/>
        <w:ind w:left="0" w:right="10" w:firstLine="538"/>
        <w:rPr>
          <w:rFonts w:eastAsia="Times New Roman" w:cs="Times New Roman"/>
          <w:sz w:val="26"/>
          <w:szCs w:val="26"/>
        </w:rPr>
      </w:pPr>
      <w:r w:rsidRPr="00FB35F5">
        <w:rPr>
          <w:rFonts w:eastAsia="Times New Roman" w:cs="Times New Roman"/>
          <w:sz w:val="26"/>
          <w:szCs w:val="26"/>
        </w:rPr>
        <w:t>Процедуры управления отдельными видами рисков и капиталом включают, в том числе, описание процессов управления рисками, детальную методологию выявления значимых рисков, оценки и контроля рисков, методы агрегирования рисков и оценки достаточности капитала.</w:t>
      </w:r>
    </w:p>
    <w:p w:rsidR="008C6C00" w:rsidRPr="000F2666" w:rsidRDefault="008C6C00" w:rsidP="008C6C00">
      <w:pPr>
        <w:shd w:val="clear" w:color="auto" w:fill="FFFFFF"/>
        <w:spacing w:after="0"/>
        <w:ind w:left="0" w:right="10" w:firstLine="538"/>
        <w:rPr>
          <w:rFonts w:eastAsia="Times New Roman" w:cs="Times New Roman"/>
          <w:sz w:val="26"/>
          <w:szCs w:val="26"/>
        </w:rPr>
      </w:pPr>
      <w:r w:rsidRPr="00FB35F5">
        <w:rPr>
          <w:rFonts w:eastAsia="Times New Roman" w:cs="Times New Roman"/>
          <w:sz w:val="26"/>
          <w:szCs w:val="26"/>
        </w:rPr>
        <w:t xml:space="preserve">В процедурах </w:t>
      </w:r>
      <w:proofErr w:type="spellStart"/>
      <w:proofErr w:type="gramStart"/>
      <w:r w:rsidRPr="00FB35F5">
        <w:rPr>
          <w:rFonts w:eastAsia="Times New Roman" w:cs="Times New Roman"/>
          <w:sz w:val="26"/>
          <w:szCs w:val="26"/>
        </w:rPr>
        <w:t>стресс-тестирования</w:t>
      </w:r>
      <w:proofErr w:type="spellEnd"/>
      <w:proofErr w:type="gramEnd"/>
      <w:r w:rsidRPr="00FB35F5">
        <w:rPr>
          <w:rFonts w:eastAsia="Times New Roman" w:cs="Times New Roman"/>
          <w:sz w:val="26"/>
          <w:szCs w:val="26"/>
        </w:rPr>
        <w:t xml:space="preserve"> кредитной организацией в соответствии с главой 5 Указания № 3624-У должны быть определены, в том числе, типы </w:t>
      </w:r>
      <w:proofErr w:type="spellStart"/>
      <w:r w:rsidRPr="00FB35F5">
        <w:rPr>
          <w:rFonts w:eastAsia="Times New Roman" w:cs="Times New Roman"/>
          <w:sz w:val="26"/>
          <w:szCs w:val="26"/>
        </w:rPr>
        <w:t>стресс-тестов</w:t>
      </w:r>
      <w:proofErr w:type="spellEnd"/>
      <w:r w:rsidRPr="00FB35F5">
        <w:rPr>
          <w:rFonts w:eastAsia="Times New Roman" w:cs="Times New Roman"/>
          <w:sz w:val="26"/>
          <w:szCs w:val="26"/>
        </w:rPr>
        <w:t xml:space="preserve">, периодичность проведения </w:t>
      </w:r>
      <w:proofErr w:type="spellStart"/>
      <w:r w:rsidRPr="00FB35F5">
        <w:rPr>
          <w:rFonts w:eastAsia="Times New Roman" w:cs="Times New Roman"/>
          <w:sz w:val="26"/>
          <w:szCs w:val="26"/>
        </w:rPr>
        <w:t>стресс-тестирования</w:t>
      </w:r>
      <w:proofErr w:type="spellEnd"/>
      <w:r w:rsidRPr="00FB35F5">
        <w:rPr>
          <w:rFonts w:eastAsia="Times New Roman" w:cs="Times New Roman"/>
          <w:sz w:val="26"/>
          <w:szCs w:val="26"/>
        </w:rPr>
        <w:t xml:space="preserve">, порядок использования результатов </w:t>
      </w:r>
      <w:proofErr w:type="spellStart"/>
      <w:r w:rsidRPr="00FB35F5">
        <w:rPr>
          <w:rFonts w:eastAsia="Times New Roman" w:cs="Times New Roman"/>
          <w:sz w:val="26"/>
          <w:szCs w:val="26"/>
        </w:rPr>
        <w:t>стресс-тестирования</w:t>
      </w:r>
      <w:proofErr w:type="spellEnd"/>
      <w:r w:rsidRPr="00FB35F5">
        <w:rPr>
          <w:rFonts w:eastAsia="Times New Roman" w:cs="Times New Roman"/>
          <w:sz w:val="26"/>
          <w:szCs w:val="26"/>
        </w:rPr>
        <w:t>, а также возможные корректирующие действия в стрессовых ситуациях.</w:t>
      </w:r>
    </w:p>
    <w:p w:rsidR="008C6C00" w:rsidRPr="000F2666" w:rsidRDefault="008C6C00" w:rsidP="008C6C00">
      <w:pPr>
        <w:shd w:val="clear" w:color="auto" w:fill="FFFFFF"/>
        <w:spacing w:after="0"/>
        <w:ind w:left="0" w:right="10" w:firstLine="538"/>
        <w:rPr>
          <w:rFonts w:eastAsia="Times New Roman" w:cs="Times New Roman"/>
          <w:sz w:val="26"/>
          <w:szCs w:val="26"/>
        </w:rPr>
      </w:pPr>
    </w:p>
    <w:p w:rsidR="008C6C00" w:rsidRPr="00FB35F5" w:rsidRDefault="008C6C00" w:rsidP="008C6C00">
      <w:pPr>
        <w:shd w:val="clear" w:color="auto" w:fill="FFFFFF"/>
        <w:spacing w:after="0"/>
        <w:ind w:left="24" w:right="5" w:firstLine="706"/>
        <w:rPr>
          <w:rFonts w:eastAsia="Times New Roman" w:cs="Times New Roman"/>
          <w:b/>
          <w:bCs/>
          <w:sz w:val="26"/>
          <w:szCs w:val="26"/>
        </w:rPr>
      </w:pPr>
      <w:r w:rsidRPr="00FB35F5">
        <w:rPr>
          <w:rFonts w:eastAsia="Times New Roman" w:cs="Times New Roman"/>
          <w:b/>
          <w:bCs/>
          <w:sz w:val="26"/>
          <w:szCs w:val="26"/>
        </w:rPr>
        <w:t>Вопрос 6. Примерные этапы внедрения ВПОДК для среднего регионального Банка согласно принципу пропорциональности?</w:t>
      </w:r>
    </w:p>
    <w:p w:rsidR="008C6C00" w:rsidRPr="00FB35F5"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Pr="00FB35F5">
        <w:rPr>
          <w:rFonts w:eastAsia="Times New Roman" w:cs="Times New Roman"/>
          <w:sz w:val="26"/>
          <w:szCs w:val="26"/>
        </w:rPr>
        <w:t xml:space="preserve">Сроки внедрения ВПОДК кредитными организациями и банковскими группами установлены главой 8 Указания № 3624-У, в соответствии с которой кредитные организации, величина активов которых составляет менее 500 млрд. </w:t>
      </w:r>
      <w:proofErr w:type="spellStart"/>
      <w:r w:rsidRPr="00FB35F5">
        <w:rPr>
          <w:rFonts w:eastAsia="Times New Roman" w:cs="Times New Roman"/>
          <w:sz w:val="26"/>
          <w:szCs w:val="26"/>
        </w:rPr>
        <w:t>руб</w:t>
      </w:r>
      <w:proofErr w:type="spellEnd"/>
      <w:r w:rsidRPr="00FB35F5">
        <w:rPr>
          <w:rFonts w:eastAsia="Times New Roman" w:cs="Times New Roman"/>
          <w:sz w:val="26"/>
          <w:szCs w:val="26"/>
        </w:rPr>
        <w:t>, должны привести процедуры управления рисками и капиталом в соответствие с требованиями Указания на индивидуальном уровне в срок до 31 декабря 2016 года, на уровне банковской группы - в срок до 31 декабря 2017 года</w:t>
      </w:r>
      <w:proofErr w:type="gramEnd"/>
      <w:r w:rsidRPr="00FB35F5">
        <w:rPr>
          <w:rFonts w:eastAsia="Times New Roman" w:cs="Times New Roman"/>
          <w:sz w:val="26"/>
          <w:szCs w:val="26"/>
        </w:rPr>
        <w:t>.</w:t>
      </w:r>
    </w:p>
    <w:p w:rsidR="008C6C00" w:rsidRPr="000F2666" w:rsidRDefault="008C6C00" w:rsidP="008C6C00">
      <w:pPr>
        <w:shd w:val="clear" w:color="auto" w:fill="FFFFFF"/>
        <w:spacing w:after="0"/>
        <w:ind w:left="24" w:right="5" w:firstLine="706"/>
        <w:rPr>
          <w:rFonts w:eastAsia="Times New Roman" w:cs="Times New Roman"/>
          <w:b/>
          <w:bCs/>
          <w:sz w:val="26"/>
          <w:szCs w:val="26"/>
        </w:rPr>
      </w:pPr>
    </w:p>
    <w:p w:rsidR="008C6C00" w:rsidRPr="00FB35F5" w:rsidRDefault="008C6C00" w:rsidP="008C6C00">
      <w:pPr>
        <w:shd w:val="clear" w:color="auto" w:fill="FFFFFF"/>
        <w:spacing w:after="0"/>
        <w:ind w:left="24" w:right="5" w:firstLine="706"/>
        <w:rPr>
          <w:rFonts w:eastAsia="Times New Roman" w:cs="Times New Roman"/>
          <w:b/>
          <w:bCs/>
          <w:sz w:val="26"/>
          <w:szCs w:val="26"/>
        </w:rPr>
      </w:pPr>
      <w:r w:rsidRPr="00FB35F5">
        <w:rPr>
          <w:rFonts w:eastAsia="Times New Roman" w:cs="Times New Roman"/>
          <w:b/>
          <w:bCs/>
          <w:sz w:val="26"/>
          <w:szCs w:val="26"/>
        </w:rPr>
        <w:lastRenderedPageBreak/>
        <w:t>Вопрос 7. Какие подходы необходимо использовать при оценке имеющегося капитала на покрытие рисков и необходимого капитала на покрытие рисков (экономического капитала).</w:t>
      </w:r>
    </w:p>
    <w:p w:rsidR="008C6C00" w:rsidRPr="00FB35F5"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FB35F5">
        <w:rPr>
          <w:rFonts w:eastAsia="Times New Roman" w:cs="Times New Roman"/>
          <w:sz w:val="26"/>
          <w:szCs w:val="26"/>
        </w:rPr>
        <w:t>Требования к организации процедур управления капиталом установлены главой 4 Указания Банка России № 3624-У. Для оценки совокупного объема необходимого капитала кредитная организация устанавливает методику определения размера капитала, необходимого для покрытия требований в отношении каждого значимого риска, а также методику определения совокупного объема необходимого капитала на основе агрегирования оценок значимых рисков.</w:t>
      </w:r>
    </w:p>
    <w:p w:rsidR="008C6C00" w:rsidRPr="00FB35F5" w:rsidRDefault="008C6C00" w:rsidP="008C6C00">
      <w:pPr>
        <w:shd w:val="clear" w:color="auto" w:fill="FFFFFF"/>
        <w:spacing w:after="0"/>
        <w:ind w:left="0" w:right="10" w:firstLine="538"/>
        <w:rPr>
          <w:rFonts w:eastAsia="Times New Roman" w:cs="Times New Roman"/>
          <w:sz w:val="26"/>
          <w:szCs w:val="26"/>
        </w:rPr>
      </w:pPr>
      <w:r w:rsidRPr="00FB35F5">
        <w:rPr>
          <w:rFonts w:eastAsia="Times New Roman" w:cs="Times New Roman"/>
          <w:sz w:val="26"/>
          <w:szCs w:val="26"/>
        </w:rPr>
        <w:t>Кредитная организация самостоятельно устанавливает методику определения совокупного  объема необходимого  капитала.  В  этих целях могут использоваться методы, применяемые в международной практике, методика Банка России для оценки достаточности капитала кредитной организации в случаях, когда данная методика учитывает все факторы кредитного, рыночного, операционного рисков, характерных для операций, осуществляемых кредитной организацией.</w:t>
      </w:r>
    </w:p>
    <w:p w:rsidR="008C6C00" w:rsidRPr="000F2666" w:rsidRDefault="008C6C00" w:rsidP="008C6C00">
      <w:pPr>
        <w:shd w:val="clear" w:color="auto" w:fill="FFFFFF"/>
        <w:spacing w:after="0"/>
        <w:ind w:left="0" w:right="10" w:firstLine="538"/>
        <w:rPr>
          <w:rFonts w:eastAsia="Times New Roman" w:cs="Times New Roman"/>
          <w:sz w:val="26"/>
          <w:szCs w:val="26"/>
        </w:rPr>
      </w:pPr>
      <w:proofErr w:type="gramStart"/>
      <w:r w:rsidRPr="00FB35F5">
        <w:rPr>
          <w:rFonts w:eastAsia="Times New Roman" w:cs="Times New Roman"/>
          <w:sz w:val="26"/>
          <w:szCs w:val="26"/>
        </w:rPr>
        <w:t>Для учета иных видов значимых для кредитной организации рисков, в отношении которых Банком России не установлена методика оценки, а также факторов кредитного, рыночного и операционного рисков, полностью не учитываемых в рамках методологии Банка России, используемой для определения требований к капиталу, кредитная организация определяет собственную методику учета данных рисков при оценке достаточности капитала.</w:t>
      </w:r>
      <w:proofErr w:type="gramEnd"/>
    </w:p>
    <w:p w:rsidR="008C6C00" w:rsidRPr="000F2666" w:rsidRDefault="008C6C00" w:rsidP="008C6C00">
      <w:pPr>
        <w:shd w:val="clear" w:color="auto" w:fill="FFFFFF"/>
        <w:spacing w:after="0"/>
        <w:ind w:left="0" w:right="10" w:firstLine="538"/>
        <w:rPr>
          <w:rFonts w:eastAsia="Times New Roman" w:cs="Times New Roman"/>
          <w:sz w:val="26"/>
          <w:szCs w:val="26"/>
        </w:rPr>
      </w:pPr>
    </w:p>
    <w:p w:rsidR="008C6C00" w:rsidRPr="008B238C" w:rsidRDefault="008C6C00" w:rsidP="008C6C00">
      <w:pPr>
        <w:shd w:val="clear" w:color="auto" w:fill="FFFFFF"/>
        <w:spacing w:after="0"/>
        <w:ind w:left="24" w:right="5" w:firstLine="706"/>
        <w:rPr>
          <w:rFonts w:eastAsia="Times New Roman" w:cs="Times New Roman"/>
          <w:b/>
          <w:bCs/>
          <w:sz w:val="26"/>
          <w:szCs w:val="26"/>
        </w:rPr>
      </w:pPr>
      <w:r w:rsidRPr="008B238C">
        <w:rPr>
          <w:rFonts w:eastAsia="Times New Roman" w:cs="Times New Roman"/>
          <w:b/>
          <w:bCs/>
          <w:sz w:val="26"/>
          <w:szCs w:val="26"/>
        </w:rPr>
        <w:t>Вопрос 8. Какие можно использовать подходы и модели при планировании и распределении капитала?</w:t>
      </w:r>
    </w:p>
    <w:p w:rsidR="008C6C00" w:rsidRPr="008B238C"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Pr="008B238C">
        <w:rPr>
          <w:rFonts w:eastAsia="Times New Roman" w:cs="Times New Roman"/>
          <w:sz w:val="26"/>
          <w:szCs w:val="26"/>
        </w:rPr>
        <w:t>В соответствии с пунктом 4.7 Указания № 3624-У при планировании капитала кредитной организации необходимо исходить из фазы цикла деловой активности, оценки текущей потребности в капитале, необходимом для покрытия значимых рисков, а также учитывать возможную потребность в привлечении дополнительного капитала для покрытия новых видов либо дополнительных объемов рисков, принятие которых обусловлено реализацией стратегии развития кредитной организации.</w:t>
      </w:r>
      <w:proofErr w:type="gramEnd"/>
    </w:p>
    <w:p w:rsidR="008C6C00" w:rsidRPr="008B238C" w:rsidRDefault="008C6C00" w:rsidP="008C6C00">
      <w:pPr>
        <w:shd w:val="clear" w:color="auto" w:fill="FFFFFF"/>
        <w:spacing w:after="0"/>
        <w:ind w:left="0" w:right="10" w:firstLine="538"/>
        <w:rPr>
          <w:rFonts w:eastAsia="Times New Roman" w:cs="Times New Roman"/>
          <w:sz w:val="26"/>
          <w:szCs w:val="26"/>
        </w:rPr>
      </w:pPr>
      <w:r w:rsidRPr="008B238C">
        <w:rPr>
          <w:rFonts w:eastAsia="Times New Roman" w:cs="Times New Roman"/>
          <w:sz w:val="26"/>
          <w:szCs w:val="26"/>
        </w:rPr>
        <w:t>Распределение капитала в соответствии с пунктом 4.11 Указания № 3624-У осуществляется кредитной организацией через систему лимитов по направлениям деятельности, видам значимых рисков и подразделениям, осуществляющим функции, связанные с принятием рисков. При этом должны быть обеспечено наличие резерва по капиталу для покрытия рисков, не оцениваемых количественными методами, а также для реализации мероприятий, предусмотренных стратегией развития кредитной организации.</w:t>
      </w:r>
    </w:p>
    <w:p w:rsidR="008C6C00" w:rsidRPr="000F2666" w:rsidRDefault="008C6C00" w:rsidP="008C6C00">
      <w:pPr>
        <w:shd w:val="clear" w:color="auto" w:fill="FFFFFF"/>
        <w:spacing w:after="0"/>
        <w:ind w:left="0" w:right="10" w:firstLine="538"/>
        <w:rPr>
          <w:rFonts w:eastAsia="Times New Roman" w:cs="Times New Roman"/>
          <w:sz w:val="26"/>
          <w:szCs w:val="26"/>
        </w:rPr>
      </w:pPr>
    </w:p>
    <w:p w:rsidR="008C6C00" w:rsidRPr="008B238C" w:rsidRDefault="008C6C00" w:rsidP="008C6C00">
      <w:pPr>
        <w:shd w:val="clear" w:color="auto" w:fill="FFFFFF"/>
        <w:spacing w:after="0"/>
        <w:ind w:left="24" w:right="5" w:firstLine="706"/>
        <w:rPr>
          <w:rFonts w:eastAsia="Times New Roman" w:cs="Times New Roman"/>
          <w:b/>
          <w:bCs/>
          <w:sz w:val="26"/>
          <w:szCs w:val="26"/>
        </w:rPr>
      </w:pPr>
      <w:r w:rsidRPr="008B238C">
        <w:rPr>
          <w:rFonts w:eastAsia="Times New Roman" w:cs="Times New Roman"/>
          <w:b/>
          <w:bCs/>
          <w:sz w:val="26"/>
          <w:szCs w:val="26"/>
        </w:rPr>
        <w:t>Вопрос 9. Какими могут быть критерии отнесения рисков к «существенным» для кредитной организации?</w:t>
      </w:r>
    </w:p>
    <w:p w:rsidR="008C6C00"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lastRenderedPageBreak/>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proofErr w:type="gramStart"/>
      <w:r w:rsidRPr="008B238C">
        <w:rPr>
          <w:rFonts w:eastAsia="Times New Roman" w:cs="Times New Roman"/>
          <w:sz w:val="26"/>
          <w:szCs w:val="26"/>
        </w:rPr>
        <w:t>Критерии признания рисков значимыми, а также перечень показателей, на основании которых кредитная организация устанавливает методологию определения значимых рисков, содержатся в пункте 3.2 Указания № 3624-У и включают, в том числе, показатели, характеризующие уровень рисков по операциям, сложность осуществляемых операций (сделок), объемы осуществляемых операций по отдельным направлениям деятельности, а также начало осуществления новых видов операций.</w:t>
      </w:r>
      <w:proofErr w:type="gramEnd"/>
    </w:p>
    <w:p w:rsidR="008C6C00" w:rsidRPr="008B238C" w:rsidRDefault="008C6C00" w:rsidP="008C6C00">
      <w:pPr>
        <w:shd w:val="clear" w:color="auto" w:fill="FFFFFF"/>
        <w:spacing w:after="0"/>
        <w:ind w:left="0" w:right="10" w:firstLine="538"/>
        <w:rPr>
          <w:rFonts w:eastAsia="Times New Roman" w:cs="Times New Roman"/>
          <w:sz w:val="26"/>
          <w:szCs w:val="26"/>
        </w:rPr>
      </w:pPr>
    </w:p>
    <w:p w:rsidR="008C6C00" w:rsidRPr="0007671E" w:rsidRDefault="008C6C00" w:rsidP="008C6C00">
      <w:pPr>
        <w:shd w:val="clear" w:color="auto" w:fill="FFFFFF"/>
        <w:spacing w:after="0"/>
        <w:ind w:left="24" w:right="5" w:firstLine="706"/>
        <w:rPr>
          <w:rFonts w:eastAsia="Times New Roman" w:cs="Times New Roman"/>
          <w:b/>
          <w:bCs/>
          <w:sz w:val="26"/>
          <w:szCs w:val="26"/>
        </w:rPr>
      </w:pPr>
      <w:r w:rsidRPr="0007671E">
        <w:rPr>
          <w:rFonts w:eastAsia="Times New Roman" w:cs="Times New Roman"/>
          <w:b/>
          <w:bCs/>
          <w:sz w:val="26"/>
          <w:szCs w:val="26"/>
        </w:rPr>
        <w:t>Вопрос 10. Каковы критерии оценки достаточности капитала исходя из оценки совокупного риска?</w:t>
      </w:r>
    </w:p>
    <w:p w:rsidR="008C6C00" w:rsidRPr="0007671E"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07671E">
        <w:rPr>
          <w:rFonts w:eastAsia="Times New Roman" w:cs="Times New Roman"/>
          <w:sz w:val="26"/>
          <w:szCs w:val="26"/>
        </w:rPr>
        <w:t>Согласно пункту 4.10 Указания № 3624-У кредитная организация в целях оценки достаточности капитала должна установить процедуры соотнесения совокупного объема необходимого капитала и объема имеющегося в ее распоряжении капитала.</w:t>
      </w:r>
    </w:p>
    <w:p w:rsidR="008C6C00" w:rsidRPr="0007671E" w:rsidRDefault="008C6C00" w:rsidP="008C6C00">
      <w:pPr>
        <w:shd w:val="clear" w:color="auto" w:fill="FFFFFF"/>
        <w:spacing w:after="0"/>
        <w:ind w:left="0" w:right="10" w:firstLine="538"/>
        <w:rPr>
          <w:rFonts w:eastAsia="Times New Roman" w:cs="Times New Roman"/>
          <w:sz w:val="26"/>
          <w:szCs w:val="26"/>
        </w:rPr>
      </w:pPr>
      <w:r w:rsidRPr="0007671E">
        <w:rPr>
          <w:rFonts w:eastAsia="Times New Roman" w:cs="Times New Roman"/>
          <w:sz w:val="26"/>
          <w:szCs w:val="26"/>
        </w:rPr>
        <w:t xml:space="preserve">При этом кредитная организация должна исходить из того, что объем имеющегося в ее распоряжении капитала должен быть не ниже чем необходимый капитал, определенный с учетом </w:t>
      </w:r>
      <w:proofErr w:type="spellStart"/>
      <w:proofErr w:type="gramStart"/>
      <w:r w:rsidRPr="0007671E">
        <w:rPr>
          <w:rFonts w:eastAsia="Times New Roman" w:cs="Times New Roman"/>
          <w:sz w:val="26"/>
          <w:szCs w:val="26"/>
        </w:rPr>
        <w:t>стресс-тестирования</w:t>
      </w:r>
      <w:proofErr w:type="spellEnd"/>
      <w:proofErr w:type="gramEnd"/>
      <w:r w:rsidRPr="0007671E">
        <w:rPr>
          <w:rFonts w:eastAsia="Times New Roman" w:cs="Times New Roman"/>
          <w:sz w:val="26"/>
          <w:szCs w:val="26"/>
        </w:rPr>
        <w:t xml:space="preserve"> для покрытия всех значимых и потенциальных рисков.</w:t>
      </w:r>
    </w:p>
    <w:p w:rsidR="008C6C00" w:rsidRPr="000F2666" w:rsidRDefault="008C6C00" w:rsidP="008C6C00">
      <w:pPr>
        <w:shd w:val="clear" w:color="auto" w:fill="FFFFFF"/>
        <w:spacing w:after="0"/>
        <w:ind w:left="0" w:right="10" w:firstLine="538"/>
        <w:rPr>
          <w:rFonts w:eastAsia="Times New Roman" w:cs="Times New Roman"/>
          <w:sz w:val="26"/>
          <w:szCs w:val="26"/>
        </w:rPr>
      </w:pPr>
    </w:p>
    <w:p w:rsidR="008C6C00" w:rsidRPr="0007671E" w:rsidRDefault="008C6C00" w:rsidP="008C6C00">
      <w:pPr>
        <w:shd w:val="clear" w:color="auto" w:fill="FFFFFF"/>
        <w:spacing w:after="0"/>
        <w:ind w:left="24" w:right="5" w:firstLine="706"/>
        <w:rPr>
          <w:rFonts w:eastAsia="Times New Roman" w:cs="Times New Roman"/>
          <w:b/>
          <w:bCs/>
          <w:sz w:val="26"/>
          <w:szCs w:val="26"/>
        </w:rPr>
      </w:pPr>
      <w:r w:rsidRPr="0007671E">
        <w:rPr>
          <w:rFonts w:eastAsia="Times New Roman" w:cs="Times New Roman"/>
          <w:b/>
          <w:bCs/>
          <w:sz w:val="26"/>
          <w:szCs w:val="26"/>
        </w:rPr>
        <w:t>Вопрос 11. Какими критериями будет руководствоваться ЦБ РФ при оценке системы ВПОДК и управления рисками? К чему готовиться и на что обращать внимание?</w:t>
      </w:r>
    </w:p>
    <w:p w:rsidR="008C6C00" w:rsidRPr="00575EBF" w:rsidRDefault="008C6C00" w:rsidP="008C6C00">
      <w:pPr>
        <w:shd w:val="clear" w:color="auto" w:fill="FFFFFF"/>
        <w:spacing w:after="0"/>
        <w:ind w:left="0" w:right="10" w:firstLine="538"/>
        <w:rPr>
          <w:rFonts w:eastAsia="Times New Roman" w:cs="Times New Roman"/>
          <w:sz w:val="26"/>
          <w:szCs w:val="26"/>
        </w:rPr>
      </w:pPr>
      <w:r w:rsidRPr="002E247D">
        <w:rPr>
          <w:rFonts w:eastAsia="Times New Roman" w:cs="Times New Roman"/>
          <w:b/>
          <w:sz w:val="26"/>
          <w:szCs w:val="26"/>
        </w:rPr>
        <w:t xml:space="preserve">ОТВЕТ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sz w:val="26"/>
          <w:szCs w:val="26"/>
        </w:rPr>
        <w:t xml:space="preserve"> </w:t>
      </w:r>
      <w:r w:rsidRPr="00575EBF">
        <w:rPr>
          <w:rFonts w:eastAsia="Times New Roman" w:cs="Times New Roman"/>
          <w:sz w:val="26"/>
          <w:szCs w:val="26"/>
        </w:rPr>
        <w:t>В январе 2016 года вступило в силу Указание Банка России от 7 декабря 2015 года № 3883-У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 Указание устанавливает методологию надзорной оценки достаточности капитала кредитной организации и банковской группы в отношении значимых и потенциально значимых для них рисков, а также качества ВПОДК кредитной организации (ВПОДК группы).</w:t>
      </w:r>
    </w:p>
    <w:p w:rsidR="008C6C00" w:rsidRPr="00575EBF" w:rsidRDefault="008C6C00" w:rsidP="008C6C00">
      <w:pPr>
        <w:shd w:val="clear" w:color="auto" w:fill="FFFFFF"/>
        <w:spacing w:after="0"/>
        <w:ind w:left="0" w:right="10" w:firstLine="538"/>
        <w:rPr>
          <w:rFonts w:eastAsia="Times New Roman" w:cs="Times New Roman"/>
          <w:sz w:val="26"/>
          <w:szCs w:val="26"/>
        </w:rPr>
      </w:pPr>
      <w:r w:rsidRPr="00575EBF">
        <w:rPr>
          <w:rFonts w:eastAsia="Times New Roman" w:cs="Times New Roman"/>
          <w:sz w:val="26"/>
          <w:szCs w:val="26"/>
        </w:rPr>
        <w:t>В ходе оценки качества ВПОДК будет оцениваться соблюдение кредитными организациями (банковскими группами) требований, установленных Указанием Банка России № 3624-У. Оценка качества ВПОДК будет производиться по результатам оценок организации ВПОДК, системы управления рисками, процедур управления капиталом, а также результатов выполнения ВПОДК кредитной организацией (банковской группой) путем отнесения кредитной организации (банковской группы) к одной из четырех оценочных категорий качества ВПОДК.</w:t>
      </w:r>
    </w:p>
    <w:p w:rsidR="008C6C00" w:rsidRPr="00575EBF" w:rsidRDefault="008C6C00" w:rsidP="008C6C00">
      <w:pPr>
        <w:shd w:val="clear" w:color="auto" w:fill="FFFFFF"/>
        <w:spacing w:after="0"/>
        <w:ind w:left="0" w:right="10" w:firstLine="538"/>
        <w:rPr>
          <w:rFonts w:eastAsia="Times New Roman" w:cs="Times New Roman"/>
          <w:sz w:val="26"/>
          <w:szCs w:val="26"/>
        </w:rPr>
      </w:pPr>
      <w:r w:rsidRPr="00575EBF">
        <w:rPr>
          <w:rFonts w:eastAsia="Times New Roman" w:cs="Times New Roman"/>
          <w:sz w:val="26"/>
          <w:szCs w:val="26"/>
        </w:rPr>
        <w:t xml:space="preserve">Оценка организации ВПОДК будет осуществляться по результатам оценки состояния контроля со стороны органов управления кредитной организации, за разработкой, выполнением ВПОДК кредитной организацией, эффективностью ВПОДК. Будет учитываться независимость подразделений, осуществляющих функции, связанные с управлением рисками, от подразделений, осуществляющих </w:t>
      </w:r>
      <w:r w:rsidRPr="00575EBF">
        <w:rPr>
          <w:rFonts w:eastAsia="Times New Roman" w:cs="Times New Roman"/>
          <w:sz w:val="26"/>
          <w:szCs w:val="26"/>
        </w:rPr>
        <w:lastRenderedPageBreak/>
        <w:t>функции, связанные с принятием рисков, а также качество отчетности, формируемой кредитной организацией в рамках ВПОДК.</w:t>
      </w:r>
    </w:p>
    <w:p w:rsidR="008C6C00" w:rsidRPr="00575EBF" w:rsidRDefault="008C6C00" w:rsidP="008C6C00">
      <w:pPr>
        <w:shd w:val="clear" w:color="auto" w:fill="FFFFFF"/>
        <w:spacing w:after="0"/>
        <w:ind w:left="0" w:right="10" w:firstLine="538"/>
        <w:rPr>
          <w:rFonts w:eastAsia="Times New Roman" w:cs="Times New Roman"/>
          <w:sz w:val="26"/>
          <w:szCs w:val="26"/>
        </w:rPr>
      </w:pPr>
      <w:r w:rsidRPr="00575EBF">
        <w:rPr>
          <w:rFonts w:eastAsia="Times New Roman" w:cs="Times New Roman"/>
          <w:sz w:val="26"/>
          <w:szCs w:val="26"/>
        </w:rPr>
        <w:t xml:space="preserve">Система управления рисками и капиталом будет оцениваться на предмет ее соответствия характеру и масштабу осуществляемых кредитной организацией операций, уровню и сочетанию принимаемых рисков. При оценке системы управления рисками будет также учитываться адекватность результатов, произведенных кредитной организацией оценок рисков и достаточности капитала, полученных с </w:t>
      </w:r>
      <w:proofErr w:type="gramStart"/>
      <w:r w:rsidRPr="00575EBF">
        <w:rPr>
          <w:rFonts w:eastAsia="Times New Roman" w:cs="Times New Roman"/>
          <w:sz w:val="26"/>
          <w:szCs w:val="26"/>
        </w:rPr>
        <w:t>помощью</w:t>
      </w:r>
      <w:proofErr w:type="gramEnd"/>
      <w:r w:rsidRPr="00575EBF">
        <w:rPr>
          <w:rFonts w:eastAsia="Times New Roman" w:cs="Times New Roman"/>
          <w:sz w:val="26"/>
          <w:szCs w:val="26"/>
        </w:rPr>
        <w:t xml:space="preserve"> имеющейся у нее методологии.</w:t>
      </w:r>
    </w:p>
    <w:p w:rsidR="008C6C00" w:rsidRPr="00575EBF" w:rsidRDefault="008C6C00" w:rsidP="008C6C00">
      <w:pPr>
        <w:shd w:val="clear" w:color="auto" w:fill="FFFFFF"/>
        <w:spacing w:after="0"/>
        <w:ind w:left="0" w:right="10" w:firstLine="538"/>
        <w:rPr>
          <w:rFonts w:eastAsia="Times New Roman" w:cs="Times New Roman"/>
          <w:sz w:val="26"/>
          <w:szCs w:val="26"/>
        </w:rPr>
      </w:pPr>
      <w:r w:rsidRPr="00575EBF">
        <w:rPr>
          <w:rFonts w:eastAsia="Times New Roman" w:cs="Times New Roman"/>
          <w:sz w:val="26"/>
          <w:szCs w:val="26"/>
        </w:rPr>
        <w:t>В рамках оценки результатов ВПОДК будет оцениваться наличие у кредитной организации капитала в размере, необходимом для покрытия всех принятых рисков.</w:t>
      </w:r>
    </w:p>
    <w:p w:rsidR="008C6C00" w:rsidRPr="00575EBF" w:rsidRDefault="008C6C00" w:rsidP="008C6C00">
      <w:pPr>
        <w:shd w:val="clear" w:color="auto" w:fill="FFFFFF"/>
        <w:spacing w:after="0"/>
        <w:ind w:left="0" w:right="10" w:firstLine="538"/>
        <w:rPr>
          <w:rFonts w:eastAsia="Times New Roman" w:cs="Times New Roman"/>
          <w:sz w:val="26"/>
          <w:szCs w:val="26"/>
        </w:rPr>
      </w:pPr>
      <w:r w:rsidRPr="00575EBF">
        <w:rPr>
          <w:rFonts w:eastAsia="Times New Roman" w:cs="Times New Roman"/>
          <w:sz w:val="26"/>
          <w:szCs w:val="26"/>
        </w:rPr>
        <w:t>Оценка достаточности капитала кредитной организации будет осуществляться исходя из результатов оценки качества ВПОДК кредитной организации с учетом оценки ее экономического положения в соответствии с Указанием Банка России № 2005-У.</w:t>
      </w:r>
    </w:p>
    <w:p w:rsidR="008C6C00" w:rsidRPr="00575EBF" w:rsidRDefault="008C6C00" w:rsidP="008C6C00">
      <w:pPr>
        <w:shd w:val="clear" w:color="auto" w:fill="FFFFFF"/>
        <w:spacing w:after="0"/>
        <w:ind w:left="0" w:right="10" w:firstLine="538"/>
        <w:rPr>
          <w:rFonts w:eastAsia="Times New Roman" w:cs="Times New Roman"/>
          <w:sz w:val="26"/>
          <w:szCs w:val="26"/>
        </w:rPr>
      </w:pPr>
      <w:r w:rsidRPr="00575EBF">
        <w:rPr>
          <w:rFonts w:eastAsia="Times New Roman" w:cs="Times New Roman"/>
          <w:sz w:val="26"/>
          <w:szCs w:val="26"/>
        </w:rPr>
        <w:t>Оценка достаточности капитала банковской группы будет осуществляться по результатам оценки качества ВПОДК группы с учетом оценки достаточности капитала крупного участника банковской группы, являющегося кредитной организацией, головной кредитной организации банковской группы, а также с учетом выполнения банковской группой нормативов достаточности капитала банковской группы.</w:t>
      </w:r>
    </w:p>
    <w:p w:rsidR="008C6C00" w:rsidRPr="00575EBF" w:rsidRDefault="008C6C00" w:rsidP="008C6C00">
      <w:pPr>
        <w:shd w:val="clear" w:color="auto" w:fill="FFFFFF"/>
        <w:spacing w:after="0"/>
        <w:ind w:left="0" w:right="10" w:firstLine="538"/>
        <w:rPr>
          <w:rFonts w:eastAsia="Times New Roman" w:cs="Times New Roman"/>
          <w:sz w:val="26"/>
          <w:szCs w:val="26"/>
        </w:rPr>
      </w:pPr>
      <w:r w:rsidRPr="00575EBF">
        <w:rPr>
          <w:rFonts w:eastAsia="Times New Roman" w:cs="Times New Roman"/>
          <w:sz w:val="26"/>
          <w:szCs w:val="26"/>
        </w:rPr>
        <w:t>По результатам оценки достаточности капитала кредитная организация (банковская группа) будет классифицирована в одну из пяти групп оценки достаточности капитала.</w:t>
      </w:r>
    </w:p>
    <w:p w:rsidR="008C6C00" w:rsidRDefault="008C6C00" w:rsidP="008C6C00">
      <w:pPr>
        <w:ind w:left="0" w:firstLine="0"/>
      </w:pPr>
    </w:p>
    <w:p w:rsidR="008C6C00" w:rsidRDefault="008C6C00" w:rsidP="008C6C00">
      <w:pPr>
        <w:shd w:val="clear" w:color="auto" w:fill="FFFFFF"/>
        <w:spacing w:before="322"/>
        <w:ind w:right="43"/>
        <w:jc w:val="center"/>
      </w:pPr>
      <w:r>
        <w:rPr>
          <w:rFonts w:eastAsia="Times New Roman" w:cs="Times New Roman"/>
          <w:i/>
          <w:iCs/>
          <w:spacing w:val="-1"/>
          <w:sz w:val="28"/>
          <w:szCs w:val="28"/>
          <w:u w:val="single"/>
        </w:rPr>
        <w:t xml:space="preserve">Раздел </w:t>
      </w:r>
      <w:r>
        <w:rPr>
          <w:rFonts w:eastAsia="Times New Roman" w:cs="Times New Roman"/>
          <w:i/>
          <w:iCs/>
          <w:spacing w:val="-1"/>
          <w:sz w:val="28"/>
          <w:szCs w:val="28"/>
          <w:u w:val="single"/>
          <w:lang w:val="en-US"/>
        </w:rPr>
        <w:t>X</w:t>
      </w:r>
      <w:r w:rsidRPr="00396803">
        <w:rPr>
          <w:rFonts w:eastAsia="Times New Roman" w:cs="Times New Roman"/>
          <w:i/>
          <w:iCs/>
          <w:spacing w:val="-1"/>
          <w:sz w:val="28"/>
          <w:szCs w:val="28"/>
          <w:u w:val="single"/>
        </w:rPr>
        <w:t xml:space="preserve">: </w:t>
      </w:r>
      <w:r>
        <w:rPr>
          <w:rFonts w:eastAsia="Times New Roman" w:cs="Times New Roman"/>
          <w:i/>
          <w:iCs/>
          <w:spacing w:val="-1"/>
          <w:sz w:val="28"/>
          <w:szCs w:val="28"/>
          <w:u w:val="single"/>
        </w:rPr>
        <w:t>Другие вопросы и предложения.</w:t>
      </w:r>
    </w:p>
    <w:p w:rsidR="008C6C00" w:rsidRPr="006327C7" w:rsidRDefault="008C6C00" w:rsidP="008C6C00">
      <w:pPr>
        <w:shd w:val="clear" w:color="auto" w:fill="FFFFFF"/>
        <w:spacing w:after="0"/>
        <w:ind w:left="24" w:right="5" w:firstLine="706"/>
        <w:rPr>
          <w:rFonts w:eastAsia="Times New Roman" w:cs="Times New Roman"/>
          <w:b/>
          <w:bCs/>
          <w:sz w:val="26"/>
          <w:szCs w:val="26"/>
        </w:rPr>
      </w:pPr>
      <w:r w:rsidRPr="006327C7">
        <w:rPr>
          <w:rFonts w:eastAsia="Times New Roman" w:cs="Times New Roman"/>
          <w:b/>
          <w:bCs/>
          <w:sz w:val="26"/>
          <w:szCs w:val="26"/>
        </w:rPr>
        <w:t>Вопрос 1. С 1.01.2016 года согласно Положению № 385-П изменен порядок бухгалтерского учета основных средств и расходов будущих периодов. Однако соответствующие изменения в части расчета капитала в Положение № 395-П не внесены. Каковы сроки внесения соответствующих изменений в Положение № 395-П?</w:t>
      </w:r>
    </w:p>
    <w:p w:rsidR="008C6C00" w:rsidRPr="00BF500B" w:rsidRDefault="008C6C00" w:rsidP="008C6C00">
      <w:pPr>
        <w:shd w:val="clear" w:color="auto" w:fill="FFFFFF"/>
        <w:spacing w:after="0"/>
        <w:ind w:left="0" w:right="10" w:firstLine="538"/>
        <w:rPr>
          <w:rFonts w:eastAsia="Times New Roman" w:cs="Times New Roman"/>
          <w:sz w:val="26"/>
          <w:szCs w:val="26"/>
        </w:rPr>
      </w:pPr>
      <w:r>
        <w:rPr>
          <w:rFonts w:eastAsia="Times New Roman" w:cs="Times New Roman"/>
          <w:b/>
          <w:sz w:val="26"/>
          <w:szCs w:val="26"/>
        </w:rPr>
        <w:t>ОТВЕТ</w:t>
      </w:r>
      <w:r w:rsidRPr="002E247D">
        <w:rPr>
          <w:rFonts w:eastAsia="Times New Roman" w:cs="Times New Roman"/>
          <w:b/>
          <w:sz w:val="26"/>
          <w:szCs w:val="26"/>
        </w:rPr>
        <w:t xml:space="preserve">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b/>
          <w:sz w:val="26"/>
          <w:szCs w:val="26"/>
        </w:rPr>
        <w:t xml:space="preserve"> </w:t>
      </w:r>
      <w:proofErr w:type="gramStart"/>
      <w:r w:rsidRPr="00BF500B">
        <w:rPr>
          <w:rFonts w:eastAsia="Times New Roman" w:cs="Times New Roman"/>
          <w:sz w:val="26"/>
          <w:szCs w:val="26"/>
        </w:rPr>
        <w:t>Указанием Банка России от 30.11.2015 № 3856-У внесены изменения в Положение Банка России от 28.12.2012 № 395-П «О методике определения величины собственных средств (капитала) кредитных организаций («Базель III»)» (далее - Положение № 395-П), в том числе уточняющие перечень балансовых счетов, ссылка на которые используется при определении показателей, участвующих в расчете собственных средств (капитала) в связи с изменением порядка бухгалтерского учета основных средств с 1</w:t>
      </w:r>
      <w:proofErr w:type="gramEnd"/>
      <w:r w:rsidRPr="00BF500B">
        <w:rPr>
          <w:rFonts w:eastAsia="Times New Roman" w:cs="Times New Roman"/>
          <w:sz w:val="26"/>
          <w:szCs w:val="26"/>
        </w:rPr>
        <w:t xml:space="preserve"> января 2016 года.</w:t>
      </w:r>
    </w:p>
    <w:p w:rsidR="008C6C00" w:rsidRPr="00BF500B" w:rsidRDefault="008C6C00" w:rsidP="008C6C00">
      <w:pPr>
        <w:shd w:val="clear" w:color="auto" w:fill="FFFFFF"/>
        <w:spacing w:after="0"/>
        <w:ind w:left="0" w:right="10" w:firstLine="538"/>
        <w:rPr>
          <w:rFonts w:eastAsia="Times New Roman" w:cs="Times New Roman"/>
          <w:sz w:val="26"/>
          <w:szCs w:val="26"/>
        </w:rPr>
      </w:pPr>
      <w:r w:rsidRPr="00BF500B">
        <w:rPr>
          <w:rFonts w:eastAsia="Times New Roman" w:cs="Times New Roman"/>
          <w:sz w:val="26"/>
          <w:szCs w:val="26"/>
        </w:rPr>
        <w:t xml:space="preserve">При этом п. 5.1 Положения № 395-П устанавливается, что перечень балансовых счетов и величина остатков на них не являются исчерпывающими и </w:t>
      </w:r>
      <w:r w:rsidRPr="00BF500B">
        <w:rPr>
          <w:rFonts w:eastAsia="Times New Roman" w:cs="Times New Roman"/>
          <w:sz w:val="26"/>
          <w:szCs w:val="26"/>
        </w:rPr>
        <w:lastRenderedPageBreak/>
        <w:t>определяются кредитной организацией исходя из экономического содержания показателей, принимаемых в расчет собственных средств (капитала) кредитной организации.</w:t>
      </w:r>
    </w:p>
    <w:p w:rsidR="008C6C00" w:rsidRDefault="008C6C00" w:rsidP="008C6C00">
      <w:pPr>
        <w:shd w:val="clear" w:color="auto" w:fill="FFFFFF"/>
        <w:spacing w:after="0"/>
        <w:ind w:left="0" w:right="10" w:firstLine="538"/>
        <w:rPr>
          <w:rFonts w:eastAsia="Times New Roman" w:cs="Times New Roman"/>
          <w:sz w:val="26"/>
          <w:szCs w:val="26"/>
        </w:rPr>
      </w:pPr>
      <w:r w:rsidRPr="00BF500B">
        <w:rPr>
          <w:rFonts w:eastAsia="Times New Roman" w:cs="Times New Roman"/>
          <w:sz w:val="26"/>
          <w:szCs w:val="26"/>
        </w:rPr>
        <w:t>В отношении расходов будущих периодов, отражаемых на балансовом счете № 614 «Расходы будущих периодов», отмечаем, что порядок их включения в расчет собственных средств (капитала), не изменился.</w:t>
      </w:r>
    </w:p>
    <w:p w:rsidR="008C6C00" w:rsidRDefault="008C6C00" w:rsidP="008C6C00">
      <w:pPr>
        <w:shd w:val="clear" w:color="auto" w:fill="FFFFFF"/>
        <w:spacing w:after="0"/>
        <w:ind w:left="0" w:right="10" w:firstLine="538"/>
        <w:rPr>
          <w:rFonts w:eastAsia="Times New Roman" w:cs="Times New Roman"/>
          <w:sz w:val="26"/>
          <w:szCs w:val="26"/>
        </w:rPr>
      </w:pPr>
    </w:p>
    <w:p w:rsidR="008C6C00" w:rsidRPr="00BF500B" w:rsidRDefault="008C6C00" w:rsidP="008C6C00">
      <w:pPr>
        <w:shd w:val="clear" w:color="auto" w:fill="FFFFFF"/>
        <w:spacing w:after="0"/>
        <w:ind w:left="24" w:right="5" w:firstLine="706"/>
        <w:rPr>
          <w:rFonts w:eastAsia="Times New Roman" w:cs="Times New Roman"/>
          <w:b/>
          <w:bCs/>
          <w:sz w:val="26"/>
          <w:szCs w:val="26"/>
        </w:rPr>
      </w:pPr>
      <w:r w:rsidRPr="00BF500B">
        <w:rPr>
          <w:rFonts w:eastAsia="Times New Roman" w:cs="Times New Roman"/>
          <w:b/>
          <w:bCs/>
          <w:sz w:val="26"/>
          <w:szCs w:val="26"/>
        </w:rPr>
        <w:t xml:space="preserve">Вопрос 4. Для оценки устойчивости банков с 01 июля 2016 года планируется применять два новых критерия: величину процентного риска и риска концентрации. Ввести расчет процентного риска Банк России планирует с 1 июля 2016 года, риск концентрации с 1 июля будут рассчитывать банки с активами более 500 </w:t>
      </w:r>
      <w:proofErr w:type="spellStart"/>
      <w:proofErr w:type="gramStart"/>
      <w:r w:rsidRPr="00BF500B">
        <w:rPr>
          <w:rFonts w:eastAsia="Times New Roman" w:cs="Times New Roman"/>
          <w:b/>
          <w:bCs/>
          <w:sz w:val="26"/>
          <w:szCs w:val="26"/>
        </w:rPr>
        <w:t>млрд</w:t>
      </w:r>
      <w:proofErr w:type="spellEnd"/>
      <w:proofErr w:type="gramEnd"/>
      <w:r w:rsidRPr="00BF500B">
        <w:rPr>
          <w:rFonts w:eastAsia="Times New Roman" w:cs="Times New Roman"/>
          <w:b/>
          <w:bCs/>
          <w:sz w:val="26"/>
          <w:szCs w:val="26"/>
        </w:rPr>
        <w:t xml:space="preserve"> руб., с активами менее 500 </w:t>
      </w:r>
      <w:proofErr w:type="spellStart"/>
      <w:r w:rsidRPr="00BF500B">
        <w:rPr>
          <w:rFonts w:eastAsia="Times New Roman" w:cs="Times New Roman"/>
          <w:b/>
          <w:bCs/>
          <w:sz w:val="26"/>
          <w:szCs w:val="26"/>
        </w:rPr>
        <w:t>млрд</w:t>
      </w:r>
      <w:proofErr w:type="spellEnd"/>
      <w:r w:rsidRPr="00BF500B">
        <w:rPr>
          <w:rFonts w:eastAsia="Times New Roman" w:cs="Times New Roman"/>
          <w:b/>
          <w:bCs/>
          <w:sz w:val="26"/>
          <w:szCs w:val="26"/>
        </w:rPr>
        <w:t xml:space="preserve"> руб. - с 1 июля 2017 года.</w:t>
      </w:r>
    </w:p>
    <w:p w:rsidR="008C6C00" w:rsidRPr="00BF500B" w:rsidRDefault="008C6C00" w:rsidP="008C6C00">
      <w:pPr>
        <w:shd w:val="clear" w:color="auto" w:fill="FFFFFF"/>
        <w:spacing w:after="0"/>
        <w:ind w:left="24" w:right="5" w:firstLine="706"/>
        <w:rPr>
          <w:rFonts w:eastAsia="Times New Roman" w:cs="Times New Roman"/>
          <w:b/>
          <w:bCs/>
          <w:sz w:val="26"/>
          <w:szCs w:val="26"/>
        </w:rPr>
      </w:pPr>
      <w:r w:rsidRPr="00BF500B">
        <w:rPr>
          <w:rFonts w:eastAsia="Times New Roman" w:cs="Times New Roman"/>
          <w:b/>
          <w:bCs/>
          <w:sz w:val="26"/>
          <w:szCs w:val="26"/>
        </w:rPr>
        <w:t>Если риск концентрации будет определяться субъективно на основе ответов на вопросы, то процентный риск определяется по четкой формуле как процентное отношение разницы между суммой взвешенных открытых позиций и суммой взвешенных коротких позиций к величине собственных средств банка. Каждый из рисков будет оцениваться по шкале от 1 до 4 баллов, где 4 балла - самый высокий. В случае наибольшего балла хотя бы по одному показателю банк будет отнесен к третьей классификационной группе.</w:t>
      </w:r>
    </w:p>
    <w:p w:rsidR="008C6C00" w:rsidRPr="00BF500B" w:rsidRDefault="008C6C00" w:rsidP="008C6C00">
      <w:pPr>
        <w:shd w:val="clear" w:color="auto" w:fill="FFFFFF"/>
        <w:spacing w:after="0"/>
        <w:ind w:left="24" w:right="5" w:firstLine="706"/>
        <w:rPr>
          <w:rFonts w:eastAsia="Times New Roman" w:cs="Times New Roman"/>
          <w:b/>
          <w:bCs/>
          <w:sz w:val="26"/>
          <w:szCs w:val="26"/>
        </w:rPr>
      </w:pPr>
      <w:r w:rsidRPr="00BF500B">
        <w:rPr>
          <w:rFonts w:eastAsia="Times New Roman" w:cs="Times New Roman"/>
          <w:b/>
          <w:bCs/>
          <w:sz w:val="26"/>
          <w:szCs w:val="26"/>
        </w:rPr>
        <w:t>Процентный риск является наиболее чувствительным из новых показателей, особенно для банков, у которых в пассивах преобладают короткие вклады, а в активах - большую долю занимают кредиты на более длительные сроки.</w:t>
      </w:r>
    </w:p>
    <w:p w:rsidR="008C6C00" w:rsidRPr="00BF500B" w:rsidRDefault="008C6C00" w:rsidP="008C6C00">
      <w:pPr>
        <w:shd w:val="clear" w:color="auto" w:fill="FFFFFF"/>
        <w:spacing w:after="0"/>
        <w:ind w:left="24" w:right="5" w:firstLine="706"/>
        <w:rPr>
          <w:rFonts w:eastAsia="Times New Roman" w:cs="Times New Roman"/>
          <w:b/>
          <w:bCs/>
          <w:sz w:val="26"/>
          <w:szCs w:val="26"/>
        </w:rPr>
      </w:pPr>
      <w:r w:rsidRPr="00BF500B">
        <w:rPr>
          <w:rFonts w:eastAsia="Times New Roman" w:cs="Times New Roman"/>
          <w:b/>
          <w:bCs/>
          <w:sz w:val="26"/>
          <w:szCs w:val="26"/>
        </w:rPr>
        <w:t xml:space="preserve">Банки для привлечения ресурсов на длительные сроки должны устанавливать более высокие процентные ставки и более выгодные для клиентов условия. </w:t>
      </w:r>
      <w:proofErr w:type="gramStart"/>
      <w:r w:rsidRPr="00BF500B">
        <w:rPr>
          <w:rFonts w:eastAsia="Times New Roman" w:cs="Times New Roman"/>
          <w:b/>
          <w:bCs/>
          <w:sz w:val="26"/>
          <w:szCs w:val="26"/>
        </w:rPr>
        <w:t>В сложившейся в настоящее время экономической ситуации в России, и учитывая, что при превышении базового уровня доходности вкладов, рассчитываемых Банком России, банки обязаны уплачивать повышенные взносы в АСВ, изменение процентных ставок в сторону увеличения невозможно.</w:t>
      </w:r>
      <w:proofErr w:type="gramEnd"/>
    </w:p>
    <w:p w:rsidR="008C6C00" w:rsidRPr="00BF500B" w:rsidRDefault="008C6C00" w:rsidP="008C6C00">
      <w:pPr>
        <w:shd w:val="clear" w:color="auto" w:fill="FFFFFF"/>
        <w:spacing w:after="0"/>
        <w:ind w:left="24" w:right="5" w:firstLine="706"/>
        <w:rPr>
          <w:rFonts w:eastAsia="Times New Roman" w:cs="Times New Roman"/>
          <w:b/>
          <w:bCs/>
          <w:sz w:val="26"/>
          <w:szCs w:val="26"/>
        </w:rPr>
      </w:pPr>
      <w:r w:rsidRPr="00BF500B">
        <w:rPr>
          <w:rFonts w:eastAsia="Times New Roman" w:cs="Times New Roman"/>
          <w:b/>
          <w:bCs/>
          <w:sz w:val="26"/>
          <w:szCs w:val="26"/>
        </w:rPr>
        <w:t>Введение процентного риска при расчете экономического положения банков ухудшит их оценку и, как следствие, станет причиной перехода банков в более низкую классификационную группу.</w:t>
      </w:r>
    </w:p>
    <w:p w:rsidR="008C6C00" w:rsidRPr="00BF500B" w:rsidRDefault="008C6C00" w:rsidP="008C6C00">
      <w:pPr>
        <w:shd w:val="clear" w:color="auto" w:fill="FFFFFF"/>
        <w:spacing w:after="0"/>
        <w:ind w:left="24" w:right="5" w:firstLine="706"/>
        <w:rPr>
          <w:rFonts w:eastAsia="Times New Roman" w:cs="Times New Roman"/>
          <w:b/>
          <w:bCs/>
          <w:sz w:val="26"/>
          <w:szCs w:val="26"/>
        </w:rPr>
      </w:pPr>
      <w:r w:rsidRPr="00BF500B">
        <w:rPr>
          <w:rFonts w:eastAsia="Times New Roman" w:cs="Times New Roman"/>
          <w:b/>
          <w:bCs/>
          <w:sz w:val="26"/>
          <w:szCs w:val="26"/>
        </w:rPr>
        <w:t>Просим рассмотреть вопрос о введении моратория на ужесточение требований к кредитным организациям (в части расчета процентного риска) до момента возобновления экономического роста.</w:t>
      </w:r>
    </w:p>
    <w:p w:rsidR="008C6C00" w:rsidRPr="00BF500B" w:rsidRDefault="008C6C00" w:rsidP="008C6C00">
      <w:pPr>
        <w:shd w:val="clear" w:color="auto" w:fill="FFFFFF"/>
        <w:spacing w:after="0"/>
        <w:ind w:left="0" w:right="10" w:firstLine="538"/>
        <w:rPr>
          <w:rFonts w:eastAsia="Times New Roman" w:cs="Times New Roman"/>
          <w:sz w:val="26"/>
          <w:szCs w:val="26"/>
        </w:rPr>
      </w:pPr>
      <w:r>
        <w:rPr>
          <w:rFonts w:eastAsia="Times New Roman" w:cs="Times New Roman"/>
          <w:b/>
          <w:sz w:val="26"/>
          <w:szCs w:val="26"/>
        </w:rPr>
        <w:t>ОТВЕТ</w:t>
      </w:r>
      <w:r w:rsidRPr="002E247D">
        <w:rPr>
          <w:rFonts w:eastAsia="Times New Roman" w:cs="Times New Roman"/>
          <w:b/>
          <w:sz w:val="26"/>
          <w:szCs w:val="26"/>
        </w:rPr>
        <w:t xml:space="preserve"> ДБР </w:t>
      </w:r>
      <w:r>
        <w:rPr>
          <w:rFonts w:eastAsia="Times New Roman" w:cs="Times New Roman"/>
          <w:b/>
          <w:sz w:val="26"/>
          <w:szCs w:val="26"/>
        </w:rPr>
        <w:t>ЦБ РФ</w:t>
      </w:r>
      <w:r w:rsidRPr="002E247D">
        <w:rPr>
          <w:rFonts w:eastAsia="Times New Roman" w:cs="Times New Roman"/>
          <w:b/>
          <w:sz w:val="26"/>
          <w:szCs w:val="26"/>
        </w:rPr>
        <w:t>:</w:t>
      </w:r>
      <w:r>
        <w:rPr>
          <w:rFonts w:eastAsia="Times New Roman" w:cs="Times New Roman"/>
          <w:b/>
          <w:sz w:val="26"/>
          <w:szCs w:val="26"/>
        </w:rPr>
        <w:t xml:space="preserve"> </w:t>
      </w:r>
      <w:proofErr w:type="gramStart"/>
      <w:r w:rsidRPr="00BF500B">
        <w:rPr>
          <w:rFonts w:eastAsia="Times New Roman" w:cs="Times New Roman"/>
          <w:sz w:val="26"/>
          <w:szCs w:val="26"/>
        </w:rPr>
        <w:t xml:space="preserve">Процентный риск особенно в условиях финансового кризиса и продолжающейся </w:t>
      </w:r>
      <w:proofErr w:type="spellStart"/>
      <w:r w:rsidRPr="00BF500B">
        <w:rPr>
          <w:rFonts w:eastAsia="Times New Roman" w:cs="Times New Roman"/>
          <w:sz w:val="26"/>
          <w:szCs w:val="26"/>
        </w:rPr>
        <w:t>волатильности</w:t>
      </w:r>
      <w:proofErr w:type="spellEnd"/>
      <w:r w:rsidRPr="00BF500B">
        <w:rPr>
          <w:rFonts w:eastAsia="Times New Roman" w:cs="Times New Roman"/>
          <w:sz w:val="26"/>
          <w:szCs w:val="26"/>
        </w:rPr>
        <w:t xml:space="preserve"> рынков приобретает для кредитных организаций наибольшую значимость, о чем кредитные организации сообщили экспертам </w:t>
      </w:r>
      <w:proofErr w:type="spellStart"/>
      <w:r w:rsidRPr="00BF500B">
        <w:rPr>
          <w:rFonts w:eastAsia="Times New Roman" w:cs="Times New Roman"/>
          <w:sz w:val="26"/>
          <w:szCs w:val="26"/>
        </w:rPr>
        <w:t>Базельского</w:t>
      </w:r>
      <w:proofErr w:type="spellEnd"/>
      <w:r w:rsidRPr="00BF500B">
        <w:rPr>
          <w:rFonts w:eastAsia="Times New Roman" w:cs="Times New Roman"/>
          <w:sz w:val="26"/>
          <w:szCs w:val="26"/>
        </w:rPr>
        <w:t xml:space="preserve"> комитета по банковскому надзору, в рамках проводившейся </w:t>
      </w:r>
      <w:r w:rsidRPr="00BF500B">
        <w:rPr>
          <w:rFonts w:eastAsia="Times New Roman" w:cs="Times New Roman"/>
          <w:sz w:val="26"/>
          <w:szCs w:val="26"/>
        </w:rPr>
        <w:lastRenderedPageBreak/>
        <w:t>оценки соответствия российского регулирования положениям Базеля (II, 2,5 и III) (</w:t>
      </w:r>
      <w:proofErr w:type="spellStart"/>
      <w:r w:rsidRPr="00BF500B">
        <w:rPr>
          <w:rFonts w:eastAsia="Times New Roman" w:cs="Times New Roman"/>
          <w:sz w:val="26"/>
          <w:szCs w:val="26"/>
        </w:rPr>
        <w:t>Basel</w:t>
      </w:r>
      <w:proofErr w:type="spellEnd"/>
      <w:r w:rsidRPr="00BF500B">
        <w:rPr>
          <w:rFonts w:eastAsia="Times New Roman" w:cs="Times New Roman"/>
          <w:sz w:val="26"/>
          <w:szCs w:val="26"/>
        </w:rPr>
        <w:t xml:space="preserve"> III </w:t>
      </w:r>
      <w:proofErr w:type="spellStart"/>
      <w:r w:rsidRPr="00BF500B">
        <w:rPr>
          <w:rFonts w:eastAsia="Times New Roman" w:cs="Times New Roman"/>
          <w:sz w:val="26"/>
          <w:szCs w:val="26"/>
        </w:rPr>
        <w:t>Regulatory</w:t>
      </w:r>
      <w:proofErr w:type="spellEnd"/>
      <w:r w:rsidRPr="00BF500B">
        <w:rPr>
          <w:rFonts w:eastAsia="Times New Roman" w:cs="Times New Roman"/>
          <w:sz w:val="26"/>
          <w:szCs w:val="26"/>
        </w:rPr>
        <w:t xml:space="preserve"> </w:t>
      </w:r>
      <w:proofErr w:type="spellStart"/>
      <w:r w:rsidRPr="00BF500B">
        <w:rPr>
          <w:rFonts w:eastAsia="Times New Roman" w:cs="Times New Roman"/>
          <w:sz w:val="26"/>
          <w:szCs w:val="26"/>
        </w:rPr>
        <w:t>Consistency</w:t>
      </w:r>
      <w:proofErr w:type="spellEnd"/>
      <w:r w:rsidRPr="00BF500B">
        <w:rPr>
          <w:rFonts w:eastAsia="Times New Roman" w:cs="Times New Roman"/>
          <w:sz w:val="26"/>
          <w:szCs w:val="26"/>
        </w:rPr>
        <w:t xml:space="preserve"> </w:t>
      </w:r>
      <w:proofErr w:type="spellStart"/>
      <w:r w:rsidRPr="00BF500B">
        <w:rPr>
          <w:rFonts w:eastAsia="Times New Roman" w:cs="Times New Roman"/>
          <w:sz w:val="26"/>
          <w:szCs w:val="26"/>
        </w:rPr>
        <w:t>Assessment</w:t>
      </w:r>
      <w:proofErr w:type="spellEnd"/>
      <w:r w:rsidRPr="00BF500B">
        <w:rPr>
          <w:rFonts w:eastAsia="Times New Roman" w:cs="Times New Roman"/>
          <w:sz w:val="26"/>
          <w:szCs w:val="26"/>
        </w:rPr>
        <w:t xml:space="preserve"> </w:t>
      </w:r>
      <w:proofErr w:type="spellStart"/>
      <w:r w:rsidRPr="00BF500B">
        <w:rPr>
          <w:rFonts w:eastAsia="Times New Roman" w:cs="Times New Roman"/>
          <w:sz w:val="26"/>
          <w:szCs w:val="26"/>
        </w:rPr>
        <w:t>Programme</w:t>
      </w:r>
      <w:proofErr w:type="spellEnd"/>
      <w:r w:rsidRPr="00BF500B">
        <w:rPr>
          <w:rFonts w:eastAsia="Times New Roman" w:cs="Times New Roman"/>
          <w:sz w:val="26"/>
          <w:szCs w:val="26"/>
        </w:rPr>
        <w:t xml:space="preserve"> (RCAP).</w:t>
      </w:r>
      <w:proofErr w:type="gramEnd"/>
    </w:p>
    <w:p w:rsidR="008C6C00" w:rsidRPr="00BF500B" w:rsidRDefault="008C6C00" w:rsidP="008C6C00">
      <w:pPr>
        <w:shd w:val="clear" w:color="auto" w:fill="FFFFFF"/>
        <w:spacing w:after="0"/>
        <w:ind w:left="0" w:right="10" w:firstLine="538"/>
        <w:rPr>
          <w:rFonts w:eastAsia="Times New Roman" w:cs="Times New Roman"/>
          <w:sz w:val="26"/>
          <w:szCs w:val="26"/>
        </w:rPr>
      </w:pPr>
      <w:proofErr w:type="gramStart"/>
      <w:r w:rsidRPr="00BF500B">
        <w:rPr>
          <w:rFonts w:eastAsia="Times New Roman" w:cs="Times New Roman"/>
          <w:sz w:val="26"/>
          <w:szCs w:val="26"/>
        </w:rPr>
        <w:t>В целях контроля за принимаемым банками уровнем процентного риска Банком России методология Указания Банка России от 30.04.2008 № 2005-У «Об оценке экономического положения банков» была дополнена показателем процентного риска, а также порядком определения и присвоения балльных оценок указанному показателю.</w:t>
      </w:r>
      <w:proofErr w:type="gramEnd"/>
    </w:p>
    <w:p w:rsidR="008C6C00" w:rsidRPr="00BF500B" w:rsidRDefault="008C6C00" w:rsidP="008C6C00">
      <w:pPr>
        <w:shd w:val="clear" w:color="auto" w:fill="FFFFFF"/>
        <w:spacing w:after="0"/>
        <w:ind w:left="0" w:right="10" w:firstLine="538"/>
        <w:rPr>
          <w:rFonts w:eastAsia="Times New Roman" w:cs="Times New Roman"/>
          <w:sz w:val="26"/>
          <w:szCs w:val="26"/>
        </w:rPr>
      </w:pPr>
      <w:proofErr w:type="gramStart"/>
      <w:r w:rsidRPr="00BF500B">
        <w:rPr>
          <w:rFonts w:eastAsia="Times New Roman" w:cs="Times New Roman"/>
          <w:sz w:val="26"/>
          <w:szCs w:val="26"/>
        </w:rPr>
        <w:t>Принимая во внимание, что оценка уровня процентного риска в рамках надзорной оценки экономического положения банков будет применяться Банком России впервые, главой 2 Указания Банка России № 2005-У предусмотрено, что банки, показатель процентного риска которых оценивается как «высокий», классифицируются не хуже чем в 3-ю классификационную группу при отсутствии условий для отнесения данных банков в более низкую классификационную группу.</w:t>
      </w:r>
      <w:proofErr w:type="gramEnd"/>
      <w:r w:rsidRPr="00BF500B">
        <w:rPr>
          <w:rFonts w:eastAsia="Times New Roman" w:cs="Times New Roman"/>
          <w:sz w:val="26"/>
          <w:szCs w:val="26"/>
        </w:rPr>
        <w:t xml:space="preserve"> Таким образом, указанные банки не теряют право на проведение операций рефинансирования с Банком России.</w:t>
      </w:r>
    </w:p>
    <w:p w:rsidR="008C6C00" w:rsidRPr="00055B56" w:rsidRDefault="008C6C00" w:rsidP="008C6C00">
      <w:pPr>
        <w:shd w:val="clear" w:color="auto" w:fill="FFFFFF"/>
        <w:spacing w:after="0"/>
        <w:ind w:left="0" w:right="10" w:firstLine="538"/>
        <w:rPr>
          <w:rFonts w:eastAsia="Times New Roman" w:cs="Times New Roman"/>
          <w:sz w:val="26"/>
          <w:szCs w:val="26"/>
        </w:rPr>
      </w:pPr>
    </w:p>
    <w:p w:rsidR="008C6C00" w:rsidRPr="00BF500B" w:rsidRDefault="008C6C00" w:rsidP="008C6C00">
      <w:pPr>
        <w:shd w:val="clear" w:color="auto" w:fill="FFFFFF"/>
        <w:spacing w:after="0"/>
        <w:ind w:left="0" w:right="10" w:firstLine="538"/>
        <w:rPr>
          <w:rFonts w:eastAsia="Times New Roman" w:cs="Times New Roman"/>
          <w:sz w:val="26"/>
          <w:szCs w:val="26"/>
        </w:rPr>
      </w:pPr>
    </w:p>
    <w:p w:rsidR="008C6C00" w:rsidRDefault="008C6C00" w:rsidP="008C6C00">
      <w:pPr>
        <w:ind w:left="0" w:firstLine="0"/>
      </w:pPr>
    </w:p>
    <w:p w:rsidR="000D2CF3" w:rsidRPr="000F2666" w:rsidRDefault="000D2CF3" w:rsidP="008C6C00">
      <w:pPr>
        <w:shd w:val="clear" w:color="auto" w:fill="FFFFFF"/>
        <w:spacing w:after="0"/>
        <w:ind w:left="1181"/>
        <w:rPr>
          <w:rFonts w:eastAsia="Times New Roman" w:cs="Times New Roman"/>
          <w:sz w:val="26"/>
          <w:szCs w:val="26"/>
        </w:rPr>
      </w:pPr>
    </w:p>
    <w:sectPr w:rsidR="000D2CF3" w:rsidRPr="000F2666" w:rsidSect="00AF0F4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56" w:rsidRDefault="00055B56" w:rsidP="000704E8">
      <w:pPr>
        <w:spacing w:after="0" w:line="240" w:lineRule="auto"/>
      </w:pPr>
      <w:r>
        <w:separator/>
      </w:r>
    </w:p>
  </w:endnote>
  <w:endnote w:type="continuationSeparator" w:id="0">
    <w:p w:rsidR="00055B56" w:rsidRDefault="00055B56" w:rsidP="00070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2817"/>
      <w:docPartObj>
        <w:docPartGallery w:val="Page Numbers (Bottom of Page)"/>
        <w:docPartUnique/>
      </w:docPartObj>
    </w:sdtPr>
    <w:sdtContent>
      <w:p w:rsidR="00055B56" w:rsidRDefault="00623823">
        <w:pPr>
          <w:pStyle w:val="ab"/>
          <w:jc w:val="center"/>
        </w:pPr>
        <w:fldSimple w:instr=" PAGE   \* MERGEFORMAT ">
          <w:r w:rsidR="008C6C00">
            <w:rPr>
              <w:noProof/>
            </w:rPr>
            <w:t>2</w:t>
          </w:r>
        </w:fldSimple>
      </w:p>
    </w:sdtContent>
  </w:sdt>
  <w:p w:rsidR="00055B56" w:rsidRDefault="00055B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56" w:rsidRDefault="00055B56" w:rsidP="000704E8">
      <w:pPr>
        <w:spacing w:after="0" w:line="240" w:lineRule="auto"/>
      </w:pPr>
      <w:r>
        <w:separator/>
      </w:r>
    </w:p>
  </w:footnote>
  <w:footnote w:type="continuationSeparator" w:id="0">
    <w:p w:rsidR="00055B56" w:rsidRDefault="00055B56" w:rsidP="00070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1AFD30"/>
    <w:lvl w:ilvl="0">
      <w:numFmt w:val="bullet"/>
      <w:lvlText w:val="*"/>
      <w:lvlJc w:val="left"/>
    </w:lvl>
  </w:abstractNum>
  <w:abstractNum w:abstractNumId="1">
    <w:nsid w:val="102F7E77"/>
    <w:multiLevelType w:val="hybridMultilevel"/>
    <w:tmpl w:val="D53844B4"/>
    <w:lvl w:ilvl="0" w:tplc="64E4024C">
      <w:start w:val="1"/>
      <w:numFmt w:val="decimal"/>
      <w:lvlText w:val="%1."/>
      <w:lvlJc w:val="left"/>
      <w:pPr>
        <w:ind w:left="1440" w:hanging="360"/>
      </w:pPr>
      <w:rPr>
        <w:rFonts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7C66FE8"/>
    <w:multiLevelType w:val="hybridMultilevel"/>
    <w:tmpl w:val="DED4F8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9220937"/>
    <w:multiLevelType w:val="hybridMultilevel"/>
    <w:tmpl w:val="01DC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195D98"/>
    <w:multiLevelType w:val="singleLevel"/>
    <w:tmpl w:val="A3C2B78C"/>
    <w:lvl w:ilvl="0">
      <w:start w:val="1"/>
      <w:numFmt w:val="decimal"/>
      <w:lvlText w:val="29.%1."/>
      <w:legacy w:legacy="1" w:legacySpace="0" w:legacyIndent="662"/>
      <w:lvlJc w:val="left"/>
      <w:rPr>
        <w:rFonts w:ascii="Times New Roman" w:hAnsi="Times New Roman" w:cs="Times New Roman" w:hint="default"/>
      </w:rPr>
    </w:lvl>
  </w:abstractNum>
  <w:abstractNum w:abstractNumId="5">
    <w:nsid w:val="40FD754E"/>
    <w:multiLevelType w:val="hybridMultilevel"/>
    <w:tmpl w:val="2376AB4E"/>
    <w:lvl w:ilvl="0" w:tplc="64E4024C">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93946F4"/>
    <w:multiLevelType w:val="multilevel"/>
    <w:tmpl w:val="B8067756"/>
    <w:lvl w:ilvl="0">
      <w:start w:val="1"/>
      <w:numFmt w:val="decimal"/>
      <w:lvlText w:val="%1."/>
      <w:lvlJc w:val="left"/>
      <w:pPr>
        <w:ind w:left="1494"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C040AA1"/>
    <w:multiLevelType w:val="hybridMultilevel"/>
    <w:tmpl w:val="DF542668"/>
    <w:lvl w:ilvl="0" w:tplc="8DC44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2887702"/>
    <w:multiLevelType w:val="hybridMultilevel"/>
    <w:tmpl w:val="89B2F52E"/>
    <w:lvl w:ilvl="0" w:tplc="7D1E7D1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4977BC7"/>
    <w:multiLevelType w:val="hybridMultilevel"/>
    <w:tmpl w:val="B0728F06"/>
    <w:lvl w:ilvl="0" w:tplc="64E4024C">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F9E001E"/>
    <w:multiLevelType w:val="hybridMultilevel"/>
    <w:tmpl w:val="739C94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14265A"/>
    <w:multiLevelType w:val="hybridMultilevel"/>
    <w:tmpl w:val="7BAC0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8AB31CE"/>
    <w:multiLevelType w:val="hybridMultilevel"/>
    <w:tmpl w:val="F036C7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CB5323E"/>
    <w:multiLevelType w:val="multilevel"/>
    <w:tmpl w:val="B8067756"/>
    <w:lvl w:ilvl="0">
      <w:start w:val="1"/>
      <w:numFmt w:val="decimal"/>
      <w:lvlText w:val="%1."/>
      <w:lvlJc w:val="left"/>
      <w:pPr>
        <w:ind w:left="1494"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D465468"/>
    <w:multiLevelType w:val="hybridMultilevel"/>
    <w:tmpl w:val="F92821D2"/>
    <w:lvl w:ilvl="0" w:tplc="64E402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0F60B7"/>
    <w:multiLevelType w:val="singleLevel"/>
    <w:tmpl w:val="C0C4C664"/>
    <w:lvl w:ilvl="0">
      <w:start w:val="1"/>
      <w:numFmt w:val="decimal"/>
      <w:lvlText w:val="6.%1."/>
      <w:legacy w:legacy="1" w:legacySpace="0" w:legacyIndent="543"/>
      <w:lvlJc w:val="left"/>
      <w:rPr>
        <w:rFonts w:ascii="Times New Roman" w:hAnsi="Times New Roman" w:cs="Times New Roman" w:hint="default"/>
      </w:rPr>
    </w:lvl>
  </w:abstractNum>
  <w:num w:numId="1">
    <w:abstractNumId w:val="14"/>
  </w:num>
  <w:num w:numId="2">
    <w:abstractNumId w:val="1"/>
  </w:num>
  <w:num w:numId="3">
    <w:abstractNumId w:val="2"/>
  </w:num>
  <w:num w:numId="4">
    <w:abstractNumId w:val="8"/>
  </w:num>
  <w:num w:numId="5">
    <w:abstractNumId w:val="3"/>
  </w:num>
  <w:num w:numId="6">
    <w:abstractNumId w:val="9"/>
  </w:num>
  <w:num w:numId="7">
    <w:abstractNumId w:val="10"/>
  </w:num>
  <w:num w:numId="8">
    <w:abstractNumId w:val="12"/>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7"/>
  </w:num>
  <w:num w:numId="1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5">
    <w:abstractNumId w:val="15"/>
  </w:num>
  <w:num w:numId="16">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7">
    <w:abstractNumId w:val="4"/>
  </w:num>
  <w:num w:numId="1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704E8"/>
    <w:rsid w:val="00052553"/>
    <w:rsid w:val="00053B82"/>
    <w:rsid w:val="00055B56"/>
    <w:rsid w:val="00063691"/>
    <w:rsid w:val="000704E8"/>
    <w:rsid w:val="0007206C"/>
    <w:rsid w:val="0007671E"/>
    <w:rsid w:val="00090416"/>
    <w:rsid w:val="000945BF"/>
    <w:rsid w:val="0009677C"/>
    <w:rsid w:val="000B0A91"/>
    <w:rsid w:val="000B7992"/>
    <w:rsid w:val="000D2CF3"/>
    <w:rsid w:val="000E4CB0"/>
    <w:rsid w:val="000E7E47"/>
    <w:rsid w:val="000F265E"/>
    <w:rsid w:val="000F2666"/>
    <w:rsid w:val="000F4D44"/>
    <w:rsid w:val="000F584D"/>
    <w:rsid w:val="00105054"/>
    <w:rsid w:val="00107745"/>
    <w:rsid w:val="001226EA"/>
    <w:rsid w:val="001252E6"/>
    <w:rsid w:val="00125F81"/>
    <w:rsid w:val="0014296A"/>
    <w:rsid w:val="00160FC2"/>
    <w:rsid w:val="00164CED"/>
    <w:rsid w:val="0016564D"/>
    <w:rsid w:val="00174DB3"/>
    <w:rsid w:val="001945B7"/>
    <w:rsid w:val="00195C15"/>
    <w:rsid w:val="00197802"/>
    <w:rsid w:val="001B4DF0"/>
    <w:rsid w:val="001E619F"/>
    <w:rsid w:val="001F5EE5"/>
    <w:rsid w:val="00205084"/>
    <w:rsid w:val="00207B03"/>
    <w:rsid w:val="00215617"/>
    <w:rsid w:val="0022783B"/>
    <w:rsid w:val="0024079F"/>
    <w:rsid w:val="00241091"/>
    <w:rsid w:val="0026584C"/>
    <w:rsid w:val="00272E39"/>
    <w:rsid w:val="00287F06"/>
    <w:rsid w:val="002937AC"/>
    <w:rsid w:val="002A4B5F"/>
    <w:rsid w:val="002B3F09"/>
    <w:rsid w:val="002B5360"/>
    <w:rsid w:val="002B6043"/>
    <w:rsid w:val="002B78FE"/>
    <w:rsid w:val="002C271A"/>
    <w:rsid w:val="002C3387"/>
    <w:rsid w:val="002D0B0C"/>
    <w:rsid w:val="002E0D7C"/>
    <w:rsid w:val="002E247D"/>
    <w:rsid w:val="002E3ECA"/>
    <w:rsid w:val="002E7D99"/>
    <w:rsid w:val="002F3EBF"/>
    <w:rsid w:val="002F5FD0"/>
    <w:rsid w:val="00325569"/>
    <w:rsid w:val="00335E61"/>
    <w:rsid w:val="0034044A"/>
    <w:rsid w:val="00361E80"/>
    <w:rsid w:val="00366A0D"/>
    <w:rsid w:val="00381060"/>
    <w:rsid w:val="00386A0A"/>
    <w:rsid w:val="00390814"/>
    <w:rsid w:val="0039726B"/>
    <w:rsid w:val="003B09CF"/>
    <w:rsid w:val="003D350D"/>
    <w:rsid w:val="003D5770"/>
    <w:rsid w:val="003D5A7B"/>
    <w:rsid w:val="003E1BF2"/>
    <w:rsid w:val="003F7866"/>
    <w:rsid w:val="00405DD9"/>
    <w:rsid w:val="004068EB"/>
    <w:rsid w:val="004167F7"/>
    <w:rsid w:val="004218C1"/>
    <w:rsid w:val="00426B28"/>
    <w:rsid w:val="00441C70"/>
    <w:rsid w:val="004519B8"/>
    <w:rsid w:val="00470081"/>
    <w:rsid w:val="00477335"/>
    <w:rsid w:val="00485CD2"/>
    <w:rsid w:val="004A0BAE"/>
    <w:rsid w:val="004E32ED"/>
    <w:rsid w:val="004F18CC"/>
    <w:rsid w:val="004F361A"/>
    <w:rsid w:val="004F6E7A"/>
    <w:rsid w:val="0050502A"/>
    <w:rsid w:val="00507BBF"/>
    <w:rsid w:val="00512B7F"/>
    <w:rsid w:val="005165B3"/>
    <w:rsid w:val="0052022D"/>
    <w:rsid w:val="005313E4"/>
    <w:rsid w:val="005411C0"/>
    <w:rsid w:val="00542670"/>
    <w:rsid w:val="00546010"/>
    <w:rsid w:val="00575EBF"/>
    <w:rsid w:val="0058749C"/>
    <w:rsid w:val="00587FF2"/>
    <w:rsid w:val="005950A7"/>
    <w:rsid w:val="005A1021"/>
    <w:rsid w:val="005A6085"/>
    <w:rsid w:val="005A6299"/>
    <w:rsid w:val="005B1EC2"/>
    <w:rsid w:val="005B542F"/>
    <w:rsid w:val="005C4C64"/>
    <w:rsid w:val="005D0465"/>
    <w:rsid w:val="005D3C4E"/>
    <w:rsid w:val="005E0A26"/>
    <w:rsid w:val="005E7B45"/>
    <w:rsid w:val="005F45A6"/>
    <w:rsid w:val="0060039D"/>
    <w:rsid w:val="00604B89"/>
    <w:rsid w:val="00606D5C"/>
    <w:rsid w:val="00623823"/>
    <w:rsid w:val="00626633"/>
    <w:rsid w:val="00630484"/>
    <w:rsid w:val="006327C7"/>
    <w:rsid w:val="00632E12"/>
    <w:rsid w:val="0065022D"/>
    <w:rsid w:val="006968F8"/>
    <w:rsid w:val="006C0C22"/>
    <w:rsid w:val="006C6454"/>
    <w:rsid w:val="006D742D"/>
    <w:rsid w:val="00701074"/>
    <w:rsid w:val="007045C9"/>
    <w:rsid w:val="007312D1"/>
    <w:rsid w:val="00733819"/>
    <w:rsid w:val="00735F5D"/>
    <w:rsid w:val="00735F79"/>
    <w:rsid w:val="00737F3E"/>
    <w:rsid w:val="00745AB4"/>
    <w:rsid w:val="0075726D"/>
    <w:rsid w:val="007577A8"/>
    <w:rsid w:val="007A14A4"/>
    <w:rsid w:val="007A2052"/>
    <w:rsid w:val="007A7A16"/>
    <w:rsid w:val="007B0DB4"/>
    <w:rsid w:val="007B2EDA"/>
    <w:rsid w:val="007B3018"/>
    <w:rsid w:val="007D334B"/>
    <w:rsid w:val="007E3678"/>
    <w:rsid w:val="0081243B"/>
    <w:rsid w:val="00832E69"/>
    <w:rsid w:val="008339A0"/>
    <w:rsid w:val="008360A8"/>
    <w:rsid w:val="00842B60"/>
    <w:rsid w:val="008431FC"/>
    <w:rsid w:val="00845AD8"/>
    <w:rsid w:val="00865775"/>
    <w:rsid w:val="008675F5"/>
    <w:rsid w:val="00875DF0"/>
    <w:rsid w:val="0088561C"/>
    <w:rsid w:val="00892D8C"/>
    <w:rsid w:val="0089398C"/>
    <w:rsid w:val="00893BBD"/>
    <w:rsid w:val="008B09D9"/>
    <w:rsid w:val="008B238C"/>
    <w:rsid w:val="008B2E8B"/>
    <w:rsid w:val="008C4B1F"/>
    <w:rsid w:val="008C6C00"/>
    <w:rsid w:val="008D0B9A"/>
    <w:rsid w:val="008D5CA8"/>
    <w:rsid w:val="008D7E87"/>
    <w:rsid w:val="008E2E77"/>
    <w:rsid w:val="008F222B"/>
    <w:rsid w:val="008F6167"/>
    <w:rsid w:val="00905763"/>
    <w:rsid w:val="0091189B"/>
    <w:rsid w:val="00913DDE"/>
    <w:rsid w:val="009243AC"/>
    <w:rsid w:val="0093317F"/>
    <w:rsid w:val="00936DA4"/>
    <w:rsid w:val="00941068"/>
    <w:rsid w:val="009413A3"/>
    <w:rsid w:val="0096300B"/>
    <w:rsid w:val="009777F9"/>
    <w:rsid w:val="00985088"/>
    <w:rsid w:val="0099103D"/>
    <w:rsid w:val="009A0C34"/>
    <w:rsid w:val="009A3F6D"/>
    <w:rsid w:val="009A6EB8"/>
    <w:rsid w:val="009B063C"/>
    <w:rsid w:val="009D63CC"/>
    <w:rsid w:val="009D7213"/>
    <w:rsid w:val="009E153C"/>
    <w:rsid w:val="009F4C6E"/>
    <w:rsid w:val="00A13C76"/>
    <w:rsid w:val="00A419AE"/>
    <w:rsid w:val="00A65AE1"/>
    <w:rsid w:val="00A665AF"/>
    <w:rsid w:val="00A91999"/>
    <w:rsid w:val="00AA3FFD"/>
    <w:rsid w:val="00AC301A"/>
    <w:rsid w:val="00AD40C7"/>
    <w:rsid w:val="00AF0F40"/>
    <w:rsid w:val="00B055BC"/>
    <w:rsid w:val="00B33087"/>
    <w:rsid w:val="00B473B1"/>
    <w:rsid w:val="00B709D3"/>
    <w:rsid w:val="00BA3DBD"/>
    <w:rsid w:val="00BC78E4"/>
    <w:rsid w:val="00BD1059"/>
    <w:rsid w:val="00BD2903"/>
    <w:rsid w:val="00BF500B"/>
    <w:rsid w:val="00C112CB"/>
    <w:rsid w:val="00C11B85"/>
    <w:rsid w:val="00C226E7"/>
    <w:rsid w:val="00C3487F"/>
    <w:rsid w:val="00C4071E"/>
    <w:rsid w:val="00C4272C"/>
    <w:rsid w:val="00C4510E"/>
    <w:rsid w:val="00C46881"/>
    <w:rsid w:val="00C617B7"/>
    <w:rsid w:val="00C63F70"/>
    <w:rsid w:val="00C7422A"/>
    <w:rsid w:val="00C95926"/>
    <w:rsid w:val="00CB3C25"/>
    <w:rsid w:val="00CC1ED6"/>
    <w:rsid w:val="00CE7FC9"/>
    <w:rsid w:val="00CF4E5F"/>
    <w:rsid w:val="00CF761D"/>
    <w:rsid w:val="00D13BF3"/>
    <w:rsid w:val="00D20310"/>
    <w:rsid w:val="00D31ABB"/>
    <w:rsid w:val="00D354D3"/>
    <w:rsid w:val="00D45388"/>
    <w:rsid w:val="00D67FF0"/>
    <w:rsid w:val="00D8692F"/>
    <w:rsid w:val="00D9264B"/>
    <w:rsid w:val="00DA2475"/>
    <w:rsid w:val="00DA2A22"/>
    <w:rsid w:val="00DF38AA"/>
    <w:rsid w:val="00E14483"/>
    <w:rsid w:val="00E33F9B"/>
    <w:rsid w:val="00E40E2C"/>
    <w:rsid w:val="00E469E2"/>
    <w:rsid w:val="00E47AF2"/>
    <w:rsid w:val="00E54E52"/>
    <w:rsid w:val="00E70DD3"/>
    <w:rsid w:val="00E71039"/>
    <w:rsid w:val="00E728C5"/>
    <w:rsid w:val="00E736E6"/>
    <w:rsid w:val="00E7428C"/>
    <w:rsid w:val="00E8235B"/>
    <w:rsid w:val="00E90BC1"/>
    <w:rsid w:val="00E90D7D"/>
    <w:rsid w:val="00EB396D"/>
    <w:rsid w:val="00EC4AB4"/>
    <w:rsid w:val="00ED049D"/>
    <w:rsid w:val="00ED0C4F"/>
    <w:rsid w:val="00EE18BC"/>
    <w:rsid w:val="00EE780B"/>
    <w:rsid w:val="00F12028"/>
    <w:rsid w:val="00F353FB"/>
    <w:rsid w:val="00F55336"/>
    <w:rsid w:val="00F6799C"/>
    <w:rsid w:val="00F96FF3"/>
    <w:rsid w:val="00FA4219"/>
    <w:rsid w:val="00FB35F5"/>
    <w:rsid w:val="00FD2B88"/>
    <w:rsid w:val="00FD6DB7"/>
    <w:rsid w:val="00FD6E77"/>
    <w:rsid w:val="00FF0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4E8"/>
    <w:pPr>
      <w:ind w:left="720"/>
      <w:contextualSpacing/>
    </w:pPr>
  </w:style>
  <w:style w:type="paragraph" w:customStyle="1" w:styleId="ConsPlusNormal">
    <w:name w:val="ConsPlusNormal"/>
    <w:rsid w:val="000704E8"/>
    <w:pPr>
      <w:widowControl w:val="0"/>
      <w:autoSpaceDE w:val="0"/>
      <w:autoSpaceDN w:val="0"/>
      <w:spacing w:after="0" w:line="240" w:lineRule="auto"/>
      <w:ind w:left="0" w:firstLine="0"/>
      <w:jc w:val="left"/>
    </w:pPr>
    <w:rPr>
      <w:rFonts w:eastAsia="Times New Roman" w:cs="Times New Roman"/>
      <w:szCs w:val="20"/>
      <w:lang w:eastAsia="ru-RU"/>
    </w:rPr>
  </w:style>
  <w:style w:type="character" w:customStyle="1" w:styleId="dbfmultilinelbl">
    <w:name w:val="dbf_multiline_lbl"/>
    <w:basedOn w:val="a0"/>
    <w:rsid w:val="000704E8"/>
  </w:style>
  <w:style w:type="paragraph" w:styleId="a4">
    <w:name w:val="footnote text"/>
    <w:basedOn w:val="a"/>
    <w:link w:val="a5"/>
    <w:uiPriority w:val="99"/>
    <w:semiHidden/>
    <w:unhideWhenUsed/>
    <w:rsid w:val="000704E8"/>
    <w:pPr>
      <w:spacing w:after="0" w:line="240" w:lineRule="auto"/>
      <w:ind w:left="0" w:firstLine="0"/>
      <w:jc w:val="left"/>
    </w:pPr>
    <w:rPr>
      <w:rFonts w:asciiTheme="minorHAnsi" w:hAnsiTheme="minorHAnsi"/>
      <w:sz w:val="20"/>
      <w:szCs w:val="20"/>
    </w:rPr>
  </w:style>
  <w:style w:type="character" w:customStyle="1" w:styleId="a5">
    <w:name w:val="Текст сноски Знак"/>
    <w:basedOn w:val="a0"/>
    <w:link w:val="a4"/>
    <w:uiPriority w:val="99"/>
    <w:semiHidden/>
    <w:rsid w:val="000704E8"/>
    <w:rPr>
      <w:rFonts w:asciiTheme="minorHAnsi" w:hAnsiTheme="minorHAnsi"/>
      <w:sz w:val="20"/>
      <w:szCs w:val="20"/>
    </w:rPr>
  </w:style>
  <w:style w:type="character" w:styleId="a6">
    <w:name w:val="footnote reference"/>
    <w:basedOn w:val="a0"/>
    <w:uiPriority w:val="99"/>
    <w:semiHidden/>
    <w:unhideWhenUsed/>
    <w:rsid w:val="000704E8"/>
    <w:rPr>
      <w:vertAlign w:val="superscript"/>
    </w:rPr>
  </w:style>
  <w:style w:type="character" w:styleId="a7">
    <w:name w:val="Hyperlink"/>
    <w:basedOn w:val="a0"/>
    <w:uiPriority w:val="99"/>
    <w:unhideWhenUsed/>
    <w:rsid w:val="00EB396D"/>
    <w:rPr>
      <w:color w:val="0000FF" w:themeColor="hyperlink"/>
      <w:u w:val="single"/>
    </w:rPr>
  </w:style>
  <w:style w:type="character" w:styleId="a8">
    <w:name w:val="FollowedHyperlink"/>
    <w:basedOn w:val="a0"/>
    <w:uiPriority w:val="99"/>
    <w:semiHidden/>
    <w:unhideWhenUsed/>
    <w:rsid w:val="00EB396D"/>
    <w:rPr>
      <w:color w:val="800080" w:themeColor="followedHyperlink"/>
      <w:u w:val="single"/>
    </w:rPr>
  </w:style>
  <w:style w:type="paragraph" w:styleId="a9">
    <w:name w:val="header"/>
    <w:basedOn w:val="a"/>
    <w:link w:val="aa"/>
    <w:uiPriority w:val="99"/>
    <w:semiHidden/>
    <w:unhideWhenUsed/>
    <w:rsid w:val="001050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05054"/>
  </w:style>
  <w:style w:type="paragraph" w:styleId="ab">
    <w:name w:val="footer"/>
    <w:basedOn w:val="a"/>
    <w:link w:val="ac"/>
    <w:uiPriority w:val="99"/>
    <w:unhideWhenUsed/>
    <w:rsid w:val="001050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5054"/>
  </w:style>
  <w:style w:type="paragraph" w:styleId="ad">
    <w:name w:val="Balloon Text"/>
    <w:basedOn w:val="a"/>
    <w:link w:val="ae"/>
    <w:uiPriority w:val="99"/>
    <w:semiHidden/>
    <w:unhideWhenUsed/>
    <w:rsid w:val="001B4DF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B4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4E8"/>
    <w:pPr>
      <w:ind w:left="720"/>
      <w:contextualSpacing/>
    </w:pPr>
  </w:style>
  <w:style w:type="paragraph" w:customStyle="1" w:styleId="ConsPlusNormal">
    <w:name w:val="ConsPlusNormal"/>
    <w:rsid w:val="000704E8"/>
    <w:pPr>
      <w:widowControl w:val="0"/>
      <w:autoSpaceDE w:val="0"/>
      <w:autoSpaceDN w:val="0"/>
      <w:spacing w:after="0" w:line="240" w:lineRule="auto"/>
      <w:ind w:left="0" w:firstLine="0"/>
      <w:jc w:val="left"/>
    </w:pPr>
    <w:rPr>
      <w:rFonts w:eastAsia="Times New Roman" w:cs="Times New Roman"/>
      <w:szCs w:val="20"/>
      <w:lang w:eastAsia="ru-RU"/>
    </w:rPr>
  </w:style>
  <w:style w:type="character" w:customStyle="1" w:styleId="dbfmultilinelbl">
    <w:name w:val="dbf_multiline_lbl"/>
    <w:basedOn w:val="a0"/>
    <w:rsid w:val="000704E8"/>
  </w:style>
  <w:style w:type="paragraph" w:styleId="a4">
    <w:name w:val="footnote text"/>
    <w:basedOn w:val="a"/>
    <w:link w:val="a5"/>
    <w:uiPriority w:val="99"/>
    <w:semiHidden/>
    <w:unhideWhenUsed/>
    <w:rsid w:val="000704E8"/>
    <w:pPr>
      <w:spacing w:after="0" w:line="240" w:lineRule="auto"/>
      <w:ind w:left="0" w:firstLine="0"/>
      <w:jc w:val="left"/>
    </w:pPr>
    <w:rPr>
      <w:rFonts w:asciiTheme="minorHAnsi" w:hAnsiTheme="minorHAnsi"/>
      <w:sz w:val="20"/>
      <w:szCs w:val="20"/>
    </w:rPr>
  </w:style>
  <w:style w:type="character" w:customStyle="1" w:styleId="a5">
    <w:name w:val="Текст сноски Знак"/>
    <w:basedOn w:val="a0"/>
    <w:link w:val="a4"/>
    <w:uiPriority w:val="99"/>
    <w:semiHidden/>
    <w:rsid w:val="000704E8"/>
    <w:rPr>
      <w:rFonts w:asciiTheme="minorHAnsi" w:hAnsiTheme="minorHAnsi"/>
      <w:sz w:val="20"/>
      <w:szCs w:val="20"/>
    </w:rPr>
  </w:style>
  <w:style w:type="character" w:styleId="a6">
    <w:name w:val="footnote reference"/>
    <w:basedOn w:val="a0"/>
    <w:uiPriority w:val="99"/>
    <w:semiHidden/>
    <w:unhideWhenUsed/>
    <w:rsid w:val="000704E8"/>
    <w:rPr>
      <w:vertAlign w:val="superscript"/>
    </w:rPr>
  </w:style>
  <w:style w:type="character" w:styleId="a7">
    <w:name w:val="Hyperlink"/>
    <w:basedOn w:val="a0"/>
    <w:uiPriority w:val="99"/>
    <w:unhideWhenUsed/>
    <w:rsid w:val="00EB396D"/>
    <w:rPr>
      <w:color w:val="0000FF" w:themeColor="hyperlink"/>
      <w:u w:val="single"/>
    </w:rPr>
  </w:style>
  <w:style w:type="character" w:styleId="a8">
    <w:name w:val="FollowedHyperlink"/>
    <w:basedOn w:val="a0"/>
    <w:uiPriority w:val="99"/>
    <w:semiHidden/>
    <w:unhideWhenUsed/>
    <w:rsid w:val="00EB396D"/>
    <w:rPr>
      <w:color w:val="800080" w:themeColor="followedHyperlink"/>
      <w:u w:val="single"/>
    </w:rPr>
  </w:style>
  <w:style w:type="paragraph" w:styleId="a9">
    <w:name w:val="header"/>
    <w:basedOn w:val="a"/>
    <w:link w:val="aa"/>
    <w:uiPriority w:val="99"/>
    <w:semiHidden/>
    <w:unhideWhenUsed/>
    <w:rsid w:val="001050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05054"/>
  </w:style>
  <w:style w:type="paragraph" w:styleId="ab">
    <w:name w:val="footer"/>
    <w:basedOn w:val="a"/>
    <w:link w:val="ac"/>
    <w:uiPriority w:val="99"/>
    <w:unhideWhenUsed/>
    <w:rsid w:val="001050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50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7D8B4-4432-4CF2-9F10-1861CED7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4954</Words>
  <Characters>28241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33129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2</cp:revision>
  <dcterms:created xsi:type="dcterms:W3CDTF">2016-05-17T15:44:00Z</dcterms:created>
  <dcterms:modified xsi:type="dcterms:W3CDTF">2016-05-17T15:44:00Z</dcterms:modified>
</cp:coreProperties>
</file>