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91" w:rsidRDefault="00705691" w:rsidP="00770005">
      <w:pPr>
        <w:rPr>
          <w:b/>
          <w:bCs/>
          <w:i/>
          <w:sz w:val="32"/>
          <w:szCs w:val="32"/>
          <w:u w:val="single"/>
        </w:rPr>
      </w:pPr>
    </w:p>
    <w:p w:rsidR="009E1728" w:rsidRDefault="009E1728" w:rsidP="009E1728">
      <w:pPr>
        <w:rPr>
          <w:b/>
          <w:sz w:val="16"/>
          <w:szCs w:val="16"/>
        </w:rPr>
      </w:pPr>
    </w:p>
    <w:p w:rsidR="00705691" w:rsidRPr="00E7610F" w:rsidRDefault="00697C02" w:rsidP="00770005">
      <w:pPr>
        <w:spacing w:before="240"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7610F">
        <w:rPr>
          <w:b/>
          <w:i/>
          <w:sz w:val="28"/>
          <w:szCs w:val="28"/>
          <w:u w:val="single"/>
        </w:rPr>
        <w:t xml:space="preserve">Эксперты </w:t>
      </w:r>
      <w:r w:rsidR="00705691" w:rsidRPr="00E7610F">
        <w:rPr>
          <w:b/>
          <w:i/>
          <w:sz w:val="28"/>
          <w:szCs w:val="28"/>
          <w:u w:val="single"/>
        </w:rPr>
        <w:t xml:space="preserve">рассмотрели </w:t>
      </w:r>
      <w:r w:rsidR="00E7610F" w:rsidRPr="00E7610F">
        <w:rPr>
          <w:b/>
          <w:i/>
          <w:sz w:val="28"/>
          <w:szCs w:val="28"/>
          <w:u w:val="single"/>
        </w:rPr>
        <w:t>запрос</w:t>
      </w:r>
      <w:r w:rsidR="00705691" w:rsidRPr="00E7610F">
        <w:rPr>
          <w:b/>
          <w:i/>
          <w:sz w:val="28"/>
          <w:szCs w:val="28"/>
          <w:u w:val="single"/>
        </w:rPr>
        <w:t xml:space="preserve"> о применении </w:t>
      </w:r>
      <w:r w:rsidR="00705691" w:rsidRPr="00E7610F">
        <w:rPr>
          <w:b/>
          <w:i/>
          <w:spacing w:val="-1"/>
          <w:sz w:val="28"/>
          <w:szCs w:val="28"/>
          <w:u w:val="single"/>
        </w:rPr>
        <w:t xml:space="preserve">Указания Банка России от 30 </w:t>
      </w:r>
      <w:r w:rsidR="00770005" w:rsidRPr="00E7610F">
        <w:rPr>
          <w:b/>
          <w:i/>
          <w:sz w:val="28"/>
          <w:szCs w:val="28"/>
          <w:u w:val="single"/>
        </w:rPr>
        <w:t>апреля 2008г. № 2005-</w:t>
      </w:r>
      <w:r w:rsidR="00705691" w:rsidRPr="00E7610F">
        <w:rPr>
          <w:b/>
          <w:i/>
          <w:sz w:val="28"/>
          <w:szCs w:val="28"/>
          <w:u w:val="single"/>
        </w:rPr>
        <w:t>У "Об оценке экономического положения банков"</w:t>
      </w:r>
      <w:r w:rsidR="00770005" w:rsidRPr="00E7610F">
        <w:rPr>
          <w:b/>
          <w:i/>
          <w:sz w:val="28"/>
          <w:szCs w:val="28"/>
          <w:u w:val="single"/>
        </w:rPr>
        <w:t xml:space="preserve"> </w:t>
      </w:r>
      <w:r w:rsidR="00705691" w:rsidRPr="00E7610F">
        <w:rPr>
          <w:b/>
          <w:i/>
          <w:sz w:val="28"/>
          <w:szCs w:val="28"/>
          <w:u w:val="single"/>
        </w:rPr>
        <w:t>и сообщают следующее.</w:t>
      </w:r>
      <w:bookmarkStart w:id="0" w:name="_GoBack"/>
      <w:bookmarkEnd w:id="0"/>
    </w:p>
    <w:p w:rsidR="00705691" w:rsidRPr="00770005" w:rsidRDefault="00705691" w:rsidP="0077000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05">
        <w:rPr>
          <w:rFonts w:ascii="Times New Roman" w:hAnsi="Times New Roman" w:cs="Times New Roman"/>
          <w:b/>
          <w:sz w:val="28"/>
          <w:szCs w:val="28"/>
        </w:rPr>
        <w:t>Ответ на первый вопрос.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Исходя из содержания </w:t>
      </w:r>
      <w:hyperlink r:id="rId4" w:history="1">
        <w:proofErr w:type="gramStart"/>
        <w:r w:rsidRPr="00770005">
          <w:rPr>
            <w:sz w:val="28"/>
            <w:szCs w:val="28"/>
          </w:rPr>
          <w:t>ч</w:t>
        </w:r>
        <w:proofErr w:type="gramEnd"/>
        <w:r w:rsidRPr="00770005">
          <w:rPr>
            <w:sz w:val="28"/>
            <w:szCs w:val="28"/>
          </w:rPr>
          <w:t>. 1 ст. 129</w:t>
        </w:r>
      </w:hyperlink>
      <w:r w:rsidRPr="00770005">
        <w:rPr>
          <w:sz w:val="28"/>
          <w:szCs w:val="28"/>
        </w:rPr>
        <w:t xml:space="preserve"> ТК РФ, раскрывающей понятие заработной платы (оплаты труда), можно выделить три составляющие заработной платы, различные по своему содержанию, целям и основаниям начисления, а именно: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1) вознаграждение за труд в зависимости от квалификации работника, сложности, количества, качества и условий выполняемой работы;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2) компенсационные выплаты;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3) стимулирующие выплаты.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В качестве стимулирующих выплат в </w:t>
      </w:r>
      <w:hyperlink r:id="rId5" w:history="1">
        <w:proofErr w:type="gramStart"/>
        <w:r w:rsidRPr="00770005">
          <w:rPr>
            <w:sz w:val="28"/>
            <w:szCs w:val="28"/>
          </w:rPr>
          <w:t>ч</w:t>
        </w:r>
        <w:proofErr w:type="gramEnd"/>
        <w:r w:rsidRPr="00770005">
          <w:rPr>
            <w:sz w:val="28"/>
            <w:szCs w:val="28"/>
          </w:rPr>
          <w:t>. 1 ст. 129</w:t>
        </w:r>
      </w:hyperlink>
      <w:r w:rsidRPr="00770005">
        <w:rPr>
          <w:sz w:val="28"/>
          <w:szCs w:val="28"/>
        </w:rPr>
        <w:t xml:space="preserve"> ТК РФ указаны доплаты и надбавки стимулирующего характера, премии и иные поощрительные выплаты. Согласно </w:t>
      </w:r>
      <w:hyperlink r:id="rId6" w:history="1">
        <w:proofErr w:type="gramStart"/>
        <w:r w:rsidRPr="00770005">
          <w:rPr>
            <w:sz w:val="28"/>
            <w:szCs w:val="28"/>
          </w:rPr>
          <w:t>ч</w:t>
        </w:r>
        <w:proofErr w:type="gramEnd"/>
        <w:r w:rsidRPr="00770005">
          <w:rPr>
            <w:sz w:val="28"/>
            <w:szCs w:val="28"/>
          </w:rPr>
          <w:t>. 2 ст. 135</w:t>
        </w:r>
      </w:hyperlink>
      <w:r w:rsidRPr="00770005">
        <w:rPr>
          <w:sz w:val="28"/>
          <w:szCs w:val="28"/>
        </w:rPr>
        <w:t xml:space="preserve"> ТК РФ данные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нормативно-правовыми актами, содержащими нормы трудового права. Локальный нормативный акт, предусматривающий стимулирующие выплаты, должен приниматься с учетом мнения представительного органа работников (</w:t>
      </w:r>
      <w:hyperlink r:id="rId7" w:history="1">
        <w:proofErr w:type="gramStart"/>
        <w:r w:rsidRPr="00770005">
          <w:rPr>
            <w:sz w:val="28"/>
            <w:szCs w:val="28"/>
          </w:rPr>
          <w:t>ч</w:t>
        </w:r>
        <w:proofErr w:type="gramEnd"/>
        <w:r w:rsidRPr="00770005">
          <w:rPr>
            <w:sz w:val="28"/>
            <w:szCs w:val="28"/>
          </w:rPr>
          <w:t>. 4 ст. 135</w:t>
        </w:r>
      </w:hyperlink>
      <w:r w:rsidRPr="00770005">
        <w:rPr>
          <w:sz w:val="28"/>
          <w:szCs w:val="28"/>
        </w:rPr>
        <w:t xml:space="preserve"> ТК РФ).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Доплаты и надбавки стимулирующего характера, премии и иные поощрительные выплаты </w:t>
      </w:r>
      <w:r w:rsidR="00770005">
        <w:rPr>
          <w:sz w:val="28"/>
          <w:szCs w:val="28"/>
        </w:rPr>
        <w:t xml:space="preserve">могут быть </w:t>
      </w:r>
      <w:r w:rsidRPr="00770005">
        <w:rPr>
          <w:sz w:val="28"/>
          <w:szCs w:val="28"/>
        </w:rPr>
        <w:t>не связаны с оплатой труда в каких-либо особых условиях (например, за работу во вредных условиях) и не ограничены законодательно минимальным или максимальным размером. Поэтому определение условий, порядка выплаты стимулирующи</w:t>
      </w:r>
      <w:r w:rsidR="00770005">
        <w:rPr>
          <w:sz w:val="28"/>
          <w:szCs w:val="28"/>
        </w:rPr>
        <w:t>х начислений, а также их размер</w:t>
      </w:r>
      <w:r w:rsidRPr="00770005">
        <w:rPr>
          <w:sz w:val="28"/>
          <w:szCs w:val="28"/>
        </w:rPr>
        <w:t xml:space="preserve"> - прерогатива работодателя.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lastRenderedPageBreak/>
        <w:t xml:space="preserve">Стимулирующие выплаты могут быть установлены </w:t>
      </w:r>
      <w:proofErr w:type="gramStart"/>
      <w:r w:rsidRPr="00770005">
        <w:rPr>
          <w:sz w:val="28"/>
          <w:szCs w:val="28"/>
        </w:rPr>
        <w:t>работодателем</w:t>
      </w:r>
      <w:proofErr w:type="gramEnd"/>
      <w:r w:rsidRPr="00770005">
        <w:rPr>
          <w:sz w:val="28"/>
          <w:szCs w:val="28"/>
        </w:rPr>
        <w:t xml:space="preserve"> как в твердой денежной сумме, так и в процентах от оклада (тарифной ставки), от выполненного объема работы. Перечень оснований для начисления премии работодатель определяет самостоятельно.</w:t>
      </w:r>
    </w:p>
    <w:p w:rsidR="00705691" w:rsidRPr="00DC52ED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К выплатам стимулирующего характера относятся </w:t>
      </w:r>
      <w:r w:rsidR="00770005">
        <w:rPr>
          <w:sz w:val="28"/>
          <w:szCs w:val="28"/>
        </w:rPr>
        <w:t xml:space="preserve">и </w:t>
      </w:r>
      <w:r w:rsidRPr="00770005">
        <w:rPr>
          <w:sz w:val="28"/>
          <w:szCs w:val="28"/>
        </w:rPr>
        <w:t xml:space="preserve">персональные надбавки. Как правило, они устанавливаются работникам за более высокую квалификацию. Например, если работнику присвоена ученая степень или он имеет документ об успешном прохождении повышения квалификации. Значительный опыт работы </w:t>
      </w:r>
      <w:r w:rsidRPr="00DC52ED">
        <w:rPr>
          <w:sz w:val="28"/>
          <w:szCs w:val="28"/>
        </w:rPr>
        <w:t>также может служить основанием для назначения персональной надбавки.</w:t>
      </w:r>
    </w:p>
    <w:p w:rsidR="000E51CA" w:rsidRPr="00DC52ED" w:rsidRDefault="00FA6FB0" w:rsidP="005415B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0E51CA">
        <w:rPr>
          <w:sz w:val="28"/>
          <w:szCs w:val="28"/>
        </w:rPr>
        <w:t xml:space="preserve"> труда согласно </w:t>
      </w:r>
      <w:proofErr w:type="gramStart"/>
      <w:r w:rsidR="000E51CA">
        <w:rPr>
          <w:sz w:val="28"/>
          <w:szCs w:val="28"/>
        </w:rPr>
        <w:t>ч</w:t>
      </w:r>
      <w:proofErr w:type="gramEnd"/>
      <w:r w:rsidR="000E51CA">
        <w:rPr>
          <w:sz w:val="28"/>
          <w:szCs w:val="28"/>
        </w:rPr>
        <w:t xml:space="preserve">.2 ст.57 ТК РФ являются обязательными для включения в трудовой договор. </w:t>
      </w:r>
      <w:r>
        <w:rPr>
          <w:sz w:val="28"/>
          <w:szCs w:val="28"/>
        </w:rPr>
        <w:t>Следовательно,</w:t>
      </w:r>
      <w:r w:rsidR="000E51CA">
        <w:rPr>
          <w:sz w:val="28"/>
          <w:szCs w:val="28"/>
        </w:rPr>
        <w:t xml:space="preserve"> если система оплаты труда </w:t>
      </w:r>
      <w:r w:rsidR="000E51CA" w:rsidRPr="000E51CA">
        <w:rPr>
          <w:sz w:val="28"/>
          <w:szCs w:val="28"/>
        </w:rPr>
        <w:t>предусматривает возможность установления и выплаты работнику персональной надбавки</w:t>
      </w:r>
      <w:r>
        <w:rPr>
          <w:sz w:val="28"/>
          <w:szCs w:val="28"/>
        </w:rPr>
        <w:t xml:space="preserve"> и (или) поощрительных выплат</w:t>
      </w:r>
      <w:r w:rsidR="000E51CA" w:rsidRPr="000E51CA">
        <w:rPr>
          <w:sz w:val="28"/>
          <w:szCs w:val="28"/>
        </w:rPr>
        <w:t xml:space="preserve">, </w:t>
      </w:r>
      <w:r w:rsidR="000E51CA" w:rsidRPr="00FA6FB0">
        <w:rPr>
          <w:sz w:val="28"/>
          <w:szCs w:val="28"/>
        </w:rPr>
        <w:t>то</w:t>
      </w:r>
      <w:r w:rsidRPr="00FA6FB0">
        <w:rPr>
          <w:sz w:val="28"/>
          <w:szCs w:val="28"/>
        </w:rPr>
        <w:t xml:space="preserve"> эти сведения включаются в трудовой договор в качестве обязательных.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C52ED">
        <w:rPr>
          <w:sz w:val="28"/>
          <w:szCs w:val="28"/>
        </w:rPr>
        <w:t>Текущее премирование по установленным</w:t>
      </w:r>
      <w:r w:rsidRPr="00770005">
        <w:rPr>
          <w:sz w:val="28"/>
          <w:szCs w:val="28"/>
        </w:rPr>
        <w:t xml:space="preserve"> работодателем показателям может производиться по результатам работы за месяц, квартал, год, а также за периоды иной продолжительности в зависимости от специфики производства и труда. При </w:t>
      </w:r>
      <w:proofErr w:type="spellStart"/>
      <w:r w:rsidRPr="00770005">
        <w:rPr>
          <w:sz w:val="28"/>
          <w:szCs w:val="28"/>
        </w:rPr>
        <w:t>недостижении</w:t>
      </w:r>
      <w:proofErr w:type="spellEnd"/>
      <w:r w:rsidRPr="00770005">
        <w:rPr>
          <w:sz w:val="28"/>
          <w:szCs w:val="28"/>
        </w:rPr>
        <w:t xml:space="preserve"> указанных в положении об оплате труда (премировании) показателей премия может не начисляться или начисляться в меньшем размере. 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Работодатель вправе самостоятельно устанавливать размер премии, если в трудовом договоре работника и локальном нормативном акте отсутствуют условия об обязательной выплате премии в фиксированном размере ежемесячно. Следует учитывать, что при указании в договоре размера премии</w:t>
      </w:r>
      <w:r w:rsidR="005415B1">
        <w:rPr>
          <w:sz w:val="28"/>
          <w:szCs w:val="28"/>
        </w:rPr>
        <w:t>,</w:t>
      </w:r>
      <w:r w:rsidRPr="00770005">
        <w:rPr>
          <w:sz w:val="28"/>
          <w:szCs w:val="28"/>
        </w:rPr>
        <w:t xml:space="preserve"> необходимо отразить условия премирования и (или) дать ссылки на локальные акты, регулирующие выплату премий работникам. Отсутствие этих сведений и доказательств ознакомления работников с данными локальными актами будет означать, что премии являются составной частью заработной платы и должны быть выплачены в обязательном порядке.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В локальном нормативном акте (положении об оплате труда, коллективном договоре, соглашении) определяются условия, порядок и критерии выплаты надбавки, т.е. оговариваются все положения, касающиеся системы стимулирующих доплат.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Таким образом, в соответствии с нормами трудового права, порядок и размеры премирования в организации могут быть регламентированы: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- локальным нормативным актом - положением о премировании, при этом в трудовые (коллективные) договоры можно включить лишь ссылки на осуществление премирования в порядке, установленном данным локальным нормативным актом, что освободит от необходимости подробного изложения </w:t>
      </w:r>
      <w:r w:rsidRPr="00770005">
        <w:rPr>
          <w:sz w:val="28"/>
          <w:szCs w:val="28"/>
        </w:rPr>
        <w:lastRenderedPageBreak/>
        <w:t>вопросов выплаты премий в трудовых (коллективных) договорах и внесения в них изменений при смене правил пр</w:t>
      </w:r>
      <w:r w:rsidR="005415B1">
        <w:rPr>
          <w:sz w:val="28"/>
          <w:szCs w:val="28"/>
        </w:rPr>
        <w:t>емирования;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- в трудовых договорах.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В оценке Показателя управления риском материальной мотивации персонала в Приложении 10 к </w:t>
      </w:r>
      <w:r w:rsidRPr="00770005">
        <w:rPr>
          <w:spacing w:val="-1"/>
          <w:sz w:val="28"/>
          <w:szCs w:val="28"/>
        </w:rPr>
        <w:t xml:space="preserve">Указанию Банка России от 30 </w:t>
      </w:r>
      <w:r w:rsidRPr="00770005">
        <w:rPr>
          <w:sz w:val="28"/>
          <w:szCs w:val="28"/>
        </w:rPr>
        <w:t>апреля 2008 года N 2005-У "Об оценке экономического положения банков" при ответе на третий  вопрос учитывается только порядок стимулирующих выплат, применяемый кредитными организациями.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70005">
        <w:rPr>
          <w:sz w:val="28"/>
          <w:szCs w:val="28"/>
        </w:rPr>
        <w:t>При ответе на вопрос «предусмотрено ли не менее 50 процентов вознаграждений в виде стимулирующих выплат для членов исполнительных органов и иных работников, принимающих риски» - анализируются локальные нормативные акты (положения об оплате труда, отдельном положении о премировании работников) и трудовые договоры указанных работников, и определяется стимулирующие выплаты (премии) указанных работников составляют более/менее  50 процентов от их оплаты труда (вознаграждение за</w:t>
      </w:r>
      <w:proofErr w:type="gramEnd"/>
      <w:r w:rsidRPr="00770005">
        <w:rPr>
          <w:sz w:val="28"/>
          <w:szCs w:val="28"/>
        </w:rPr>
        <w:t xml:space="preserve"> труд).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70005">
        <w:rPr>
          <w:sz w:val="28"/>
          <w:szCs w:val="28"/>
        </w:rPr>
        <w:t>При ответе на вопрос «предусматривается ли во внутренних документах банка и применяется ли к членам исполнительных органов и иным работникам, принимающим риски, отсрочка и последующая корректировка не менее 40 процентов размера стимулирующих выплат исходя из сроков получения финансовых результатов их деятельности (но не менее 3 лет), включая возможность сокращения или отмены стимулирующих выплат при получении негативного финансового результата в целом</w:t>
      </w:r>
      <w:proofErr w:type="gramEnd"/>
      <w:r w:rsidRPr="00770005">
        <w:rPr>
          <w:sz w:val="28"/>
          <w:szCs w:val="28"/>
        </w:rPr>
        <w:t xml:space="preserve"> по банку или по соответствующему направлению деятельности (в том числе путем определения размера стимулирующих выплат и их начисления по прошествии периодов, достаточных для определения результатов деятельности)» - анализируются локальные нормативные акты (поло</w:t>
      </w:r>
      <w:r w:rsidR="005415B1">
        <w:rPr>
          <w:sz w:val="28"/>
          <w:szCs w:val="28"/>
        </w:rPr>
        <w:t>жения об оплате труда, отдельные положения</w:t>
      </w:r>
      <w:r w:rsidRPr="00770005">
        <w:rPr>
          <w:sz w:val="28"/>
          <w:szCs w:val="28"/>
        </w:rPr>
        <w:t xml:space="preserve"> о премировании работников) и трудовые договоры указанных работников, и </w:t>
      </w:r>
      <w:proofErr w:type="gramStart"/>
      <w:r w:rsidRPr="00770005">
        <w:rPr>
          <w:sz w:val="28"/>
          <w:szCs w:val="28"/>
        </w:rPr>
        <w:t>определяется</w:t>
      </w:r>
      <w:proofErr w:type="gramEnd"/>
      <w:r w:rsidRPr="00770005">
        <w:rPr>
          <w:sz w:val="28"/>
          <w:szCs w:val="28"/>
        </w:rPr>
        <w:t xml:space="preserve"> зависит ли начисление стимулирующих выплат членам исполнительных органов и иным работникам, принимающим риски, от финансового результата деятельности банка или от финансового результата деятельности соответствующего направления (</w:t>
      </w:r>
      <w:proofErr w:type="spellStart"/>
      <w:proofErr w:type="gramStart"/>
      <w:r w:rsidRPr="00770005">
        <w:rPr>
          <w:sz w:val="28"/>
          <w:szCs w:val="28"/>
        </w:rPr>
        <w:t>бизнес-сегмента</w:t>
      </w:r>
      <w:proofErr w:type="spellEnd"/>
      <w:proofErr w:type="gramEnd"/>
      <w:r w:rsidRPr="00770005">
        <w:rPr>
          <w:sz w:val="28"/>
          <w:szCs w:val="28"/>
        </w:rPr>
        <w:t xml:space="preserve">). 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>Под отсрочкой и последующей корректировкой не менее 40 процентов размера стимулирующих выплат</w:t>
      </w:r>
      <w:r w:rsidR="005415B1">
        <w:rPr>
          <w:sz w:val="28"/>
          <w:szCs w:val="28"/>
        </w:rPr>
        <w:t>,</w:t>
      </w:r>
      <w:r w:rsidRPr="00770005">
        <w:rPr>
          <w:sz w:val="28"/>
          <w:szCs w:val="28"/>
        </w:rPr>
        <w:t xml:space="preserve"> исходя из сроков получения финансовых результатов их деятельности, понимается возможность доначисления стимулирующих выплат в будущем. </w:t>
      </w:r>
      <w:proofErr w:type="gramStart"/>
      <w:r w:rsidRPr="00770005">
        <w:rPr>
          <w:sz w:val="28"/>
          <w:szCs w:val="28"/>
        </w:rPr>
        <w:t xml:space="preserve">Например,  если локальным нормативным актом или трудовым договором предусмотрено текущее премирование по результатам работы за месяц при достижении определенных показателей, но в целом по банку получен убыток за текущий месяц, то премия членам правления </w:t>
      </w:r>
      <w:r w:rsidRPr="00770005">
        <w:rPr>
          <w:b/>
          <w:sz w:val="28"/>
          <w:szCs w:val="28"/>
        </w:rPr>
        <w:t>начисляется и выплачивается</w:t>
      </w:r>
      <w:r w:rsidRPr="00770005">
        <w:rPr>
          <w:sz w:val="28"/>
          <w:szCs w:val="28"/>
        </w:rPr>
        <w:t xml:space="preserve"> в размере 60 процентов от предполагаемого размера, а следующие 40 процентов могут быть начислены и выплачены при получении прибыли за квартал, год.</w:t>
      </w:r>
      <w:proofErr w:type="gramEnd"/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Отсылки </w:t>
      </w:r>
      <w:r w:rsidR="00CD3F87" w:rsidRPr="00770005">
        <w:rPr>
          <w:sz w:val="28"/>
          <w:szCs w:val="28"/>
        </w:rPr>
        <w:t>кредитной организации</w:t>
      </w:r>
      <w:r w:rsidRPr="00770005">
        <w:rPr>
          <w:sz w:val="28"/>
          <w:szCs w:val="28"/>
        </w:rPr>
        <w:t xml:space="preserve"> </w:t>
      </w:r>
      <w:r w:rsidR="00D01B9A" w:rsidRPr="00770005">
        <w:rPr>
          <w:sz w:val="28"/>
          <w:szCs w:val="28"/>
        </w:rPr>
        <w:t>на ст.136, 140 ТК РФ</w:t>
      </w:r>
      <w:r w:rsidRPr="00770005">
        <w:rPr>
          <w:sz w:val="28"/>
          <w:szCs w:val="28"/>
        </w:rPr>
        <w:t xml:space="preserve"> не состоятельны, так как в данном случае понимается начисление и фактическая выплата премий в соответствии с порядком, установленным локальным нормативным актом или трудовым договором.</w:t>
      </w:r>
    </w:p>
    <w:p w:rsidR="00705691" w:rsidRPr="00770005" w:rsidRDefault="00705691" w:rsidP="007700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0005">
        <w:rPr>
          <w:sz w:val="28"/>
          <w:szCs w:val="28"/>
        </w:rPr>
        <w:t xml:space="preserve">Отмечаем, что указанный выше порядок «отсрочка, последующая корректировка, возможность сокращения или отмены стимулирующих выплат» </w:t>
      </w:r>
      <w:r w:rsidRPr="00770005">
        <w:rPr>
          <w:b/>
          <w:sz w:val="28"/>
          <w:szCs w:val="28"/>
        </w:rPr>
        <w:t xml:space="preserve">относится к начислению стимулирующих выплат, который должен быть определен локальным нормативным актом или трудовым договором, </w:t>
      </w:r>
      <w:r w:rsidRPr="00770005">
        <w:rPr>
          <w:sz w:val="28"/>
          <w:szCs w:val="28"/>
        </w:rPr>
        <w:t xml:space="preserve">а не к фактическим выплатам уже начисленной премии. В связи с этим вопросы </w:t>
      </w:r>
      <w:r w:rsidR="00CD3F87" w:rsidRPr="00770005">
        <w:rPr>
          <w:sz w:val="28"/>
          <w:szCs w:val="28"/>
        </w:rPr>
        <w:t>кредитной организации</w:t>
      </w:r>
      <w:r w:rsidRPr="00770005">
        <w:rPr>
          <w:sz w:val="28"/>
          <w:szCs w:val="28"/>
        </w:rPr>
        <w:t xml:space="preserve"> со вт</w:t>
      </w:r>
      <w:r w:rsidR="005415B1">
        <w:rPr>
          <w:sz w:val="28"/>
          <w:szCs w:val="28"/>
        </w:rPr>
        <w:t>орого по четвертый не актуальны и не требуют разъяснения.</w:t>
      </w:r>
    </w:p>
    <w:sectPr w:rsidR="00705691" w:rsidRPr="00770005" w:rsidSect="00D0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5691"/>
    <w:rsid w:val="00020293"/>
    <w:rsid w:val="00091562"/>
    <w:rsid w:val="000E51CA"/>
    <w:rsid w:val="003E4E27"/>
    <w:rsid w:val="003F63D1"/>
    <w:rsid w:val="005415B1"/>
    <w:rsid w:val="00697C02"/>
    <w:rsid w:val="00705691"/>
    <w:rsid w:val="00770005"/>
    <w:rsid w:val="007F0353"/>
    <w:rsid w:val="009E1728"/>
    <w:rsid w:val="00B73F6B"/>
    <w:rsid w:val="00B764E3"/>
    <w:rsid w:val="00B84982"/>
    <w:rsid w:val="00BE2CF2"/>
    <w:rsid w:val="00CD3F87"/>
    <w:rsid w:val="00D01B9A"/>
    <w:rsid w:val="00D8399F"/>
    <w:rsid w:val="00DC52ED"/>
    <w:rsid w:val="00E7610F"/>
    <w:rsid w:val="00ED5FFD"/>
    <w:rsid w:val="00FA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691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7056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5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05691"/>
  </w:style>
  <w:style w:type="paragraph" w:customStyle="1" w:styleId="ConsPlusNormal">
    <w:name w:val="ConsPlusNormal"/>
    <w:rsid w:val="00705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33F0B5518CDC59EB0E5318A357D4ED8BA3623449F8F3DD63531C71F48EFEA38C2C812AB8P2b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3F0B5518CDC59EB0E5318A357D4ED8BA3623449F8F3DD63531C71F48EFEA38C2C812AB8P2bCD" TargetMode="External"/><Relationship Id="rId5" Type="http://schemas.openxmlformats.org/officeDocument/2006/relationships/hyperlink" Target="consultantplus://offline/ref=1633F0B5518CDC59EB0E5318A357D4ED8BA3623449F8F3DD63531C71F48EFEA38C2C812ABEP2bCD" TargetMode="External"/><Relationship Id="rId4" Type="http://schemas.openxmlformats.org/officeDocument/2006/relationships/hyperlink" Target="consultantplus://offline/ref=F096038C628B2955A73E96378AE1C43D0B753D5817E5C2703D6A666429790BD568E1CC84BEb3ZC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2013-12-04T11:22:00Z</cp:lastPrinted>
  <dcterms:created xsi:type="dcterms:W3CDTF">2013-12-03T07:19:00Z</dcterms:created>
  <dcterms:modified xsi:type="dcterms:W3CDTF">2014-08-01T10:42:00Z</dcterms:modified>
</cp:coreProperties>
</file>