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88" w:rsidRPr="006C19D4" w:rsidRDefault="00743988" w:rsidP="00910322">
      <w:pPr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>Ассоциация «Россия» направила в адрес Банка России письмо 06/253 от 09.12.2014 с предложениями</w:t>
      </w:r>
      <w:r w:rsidR="00235878">
        <w:rPr>
          <w:rFonts w:ascii="Times New Roman" w:eastAsia="Times New Roman" w:hAnsi="Times New Roman" w:cs="Times New Roman"/>
          <w:sz w:val="26"/>
          <w:szCs w:val="26"/>
        </w:rPr>
        <w:t xml:space="preserve"> в области надзора за кредитными организациями. </w:t>
      </w:r>
      <w:bookmarkStart w:id="0" w:name="_GoBack"/>
      <w:bookmarkEnd w:id="0"/>
      <w:r w:rsidRPr="006C19D4">
        <w:rPr>
          <w:rFonts w:ascii="Times New Roman" w:eastAsia="Times New Roman" w:hAnsi="Times New Roman" w:cs="Times New Roman"/>
          <w:sz w:val="26"/>
          <w:szCs w:val="26"/>
        </w:rPr>
        <w:t>В январе 2015 года от Банка России был получен ответ (письмо №016-41-1/144 от 15.01.2015), разъясняющий позицию регулятора в отношении предложенных мер.</w:t>
      </w:r>
    </w:p>
    <w:p w:rsidR="00743988" w:rsidRPr="006C19D4" w:rsidRDefault="00743988" w:rsidP="00910322">
      <w:pPr>
        <w:shd w:val="clear" w:color="auto" w:fill="FFFFFF"/>
        <w:spacing w:line="360" w:lineRule="auto"/>
        <w:ind w:left="48" w:right="-1"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ab/>
        <w:t>Предложение 1.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Отменить практику требования территориальными подразделениями Банка России ежедневной отчётности бесконечное время (установить четкий срок - не более 3х месяцев после устранения нарушений).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 Банка России: 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ab/>
        <w:t>Требование о представлении кредитными организациями отчетности на ежедневной основе не является мерой и вводится территориальными учреждениями Банка России в отношении кредитных организаций в соответствии с предоставленным Указанием Банка России от 12.11.2009 № 2332-У «О перечне, формах и порядке составления и представления форм отчетности в Центральный банк Российской Федерации» в том числе в целях оперативного предотвращения ситуаций быстрого ухудшения финансового положения кредитных организаций.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ab/>
        <w:t>Территориальные учреждения Банка России вправе отменять требование о представлении ежедневной отчетности после анализа экономического содержания операций кредитной организации и получения документов, подтверждающих достоверность значений показателей отчетности кредитных организаций.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Предложение 2. 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Прекратить навязывание территориальными подразделениями Банка России банкам </w:t>
      </w:r>
      <w:r w:rsidRPr="006C19D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различных "самоограничений" (по приросту вкладов, диверсификации ресурсной базы и т.п.). В 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условиях отзыва лицензий у банков и нестабильности валютного курса снижается уровень доверия к банкам, в особенности к малым и средним. Эта категория кредитных организаций сталкивается с оттоком средств, не защищенных системой страхования, и при этом практически не имеет доступа к рефинансированию по причине отсутствия залогов. При этом территориальные подразделения Банка России требуют диверсификации ресурсной базы, устанавливая ограничения на долю средств 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lastRenderedPageBreak/>
        <w:t>физических лиц в ресурсной базе, которые становятся единственным, зачастую более дешевым, чем средства юридических лиц, источником пополнения пассивов.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 Банка России: 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ab/>
        <w:t>Самоограничения кредитных организаций по приросту вкладов, диверсификации активов и т.п. являются, по нашему мнению, наиболее «мягкой», в том числе в условиях кризиса, мерой по корректировке деятельности кредитных организаций, имеющей своей целью снижение рисков кредитных организаций и недопущение ими нарушений, за которые Банк России будет обязан в соответствии с законодательством применить меры, в том числе ограничивающие либо запрещающие совершение кредитными организациями отдельных операций.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Предложение 3. 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Временный пересмотр (не применение) показателей доходности, чистой процентной маржи и чистого спреда, рассчитываемых в соответствии с Указанием Банка России от 30.04.2008г. № 2005-У «Об оценке экономического положения банков». В ближайшее время в силу макроэкономических причин вероятно ухудшение финансового положения заемщиков банков, что потребует </w:t>
      </w:r>
      <w:proofErr w:type="spellStart"/>
      <w:r w:rsidRPr="006C19D4">
        <w:rPr>
          <w:rFonts w:ascii="Times New Roman" w:eastAsia="Times New Roman" w:hAnsi="Times New Roman" w:cs="Times New Roman"/>
          <w:sz w:val="26"/>
          <w:szCs w:val="26"/>
        </w:rPr>
        <w:t>досоздания</w:t>
      </w:r>
      <w:proofErr w:type="spellEnd"/>
      <w:r w:rsidRPr="006C19D4">
        <w:rPr>
          <w:rFonts w:ascii="Times New Roman" w:eastAsia="Times New Roman" w:hAnsi="Times New Roman" w:cs="Times New Roman"/>
          <w:sz w:val="26"/>
          <w:szCs w:val="26"/>
        </w:rPr>
        <w:t xml:space="preserve"> резервов, </w:t>
      </w:r>
      <w:proofErr w:type="gramStart"/>
      <w:r w:rsidRPr="006C19D4">
        <w:rPr>
          <w:rFonts w:ascii="Times New Roman" w:eastAsia="Times New Roman" w:hAnsi="Times New Roman" w:cs="Times New Roman"/>
          <w:sz w:val="26"/>
          <w:szCs w:val="26"/>
        </w:rPr>
        <w:t>а следовательно</w:t>
      </w:r>
      <w:proofErr w:type="gramEnd"/>
      <w:r w:rsidRPr="006C19D4">
        <w:rPr>
          <w:rFonts w:ascii="Times New Roman" w:eastAsia="Times New Roman" w:hAnsi="Times New Roman" w:cs="Times New Roman"/>
          <w:sz w:val="26"/>
          <w:szCs w:val="26"/>
        </w:rPr>
        <w:t>, снизит показатели прибыльности банков. Резкий рост депозитных ставок окажет существенное понижательное давление на маржу, поскольку пересмотр кредитных ставок требует более длительного времени и осуществляется с учетом воздействия на финансовое положение заемщика.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 Банка России: 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C19D4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Предложение не поддерживается.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ab/>
        <w:t xml:space="preserve">Показатели доходности, включая показатели чистой процентной маржи и чистого спреда от кредитных операций, имеют ограниченное влияние на оценку экономического положения банков. Так, в соответствии с Указанием № 2005-У банки, имеющие «удовлетворительные» (балл 2), «сомнительные» (балл 3) либо «неудовлетворительные» (балл 4) результаты оценки доходности, </w:t>
      </w:r>
      <w:r w:rsidRPr="006C19D4">
        <w:rPr>
          <w:rFonts w:ascii="Times New Roman" w:eastAsia="Times New Roman" w:hAnsi="Times New Roman" w:cs="Times New Roman"/>
          <w:sz w:val="26"/>
          <w:szCs w:val="26"/>
        </w:rPr>
        <w:lastRenderedPageBreak/>
        <w:t>классифицируются Банком России в рамках 2-й классификационной группы соответственно в подгруппы 2.1 и 2.2.</w:t>
      </w:r>
    </w:p>
    <w:p w:rsidR="006C19D4" w:rsidRPr="006C19D4" w:rsidRDefault="006C19D4" w:rsidP="00910322">
      <w:pPr>
        <w:shd w:val="clear" w:color="auto" w:fill="FFFFFF"/>
        <w:tabs>
          <w:tab w:val="left" w:pos="709"/>
          <w:tab w:val="left" w:pos="92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9D4">
        <w:rPr>
          <w:rFonts w:ascii="Times New Roman" w:eastAsia="Times New Roman" w:hAnsi="Times New Roman" w:cs="Times New Roman"/>
          <w:sz w:val="26"/>
          <w:szCs w:val="26"/>
        </w:rPr>
        <w:tab/>
        <w:t>Также в соответствии со статьей 48 Федерального закона № 177-ФЗ «О страховании вкладов физических лиц в банках Российской Федерации» показатели доходности не входят в перечень условий, несоблюдение которых приводит к прекращению права банков - участников системы страхования вкладов, на привлечение во вклады денежных средств физических лиц и на открытие и ведение банковских счетов физических лиц.</w:t>
      </w:r>
    </w:p>
    <w:p w:rsidR="00CF6259" w:rsidRPr="006C19D4" w:rsidRDefault="00AA2CE5" w:rsidP="00910322">
      <w:pPr>
        <w:ind w:right="-1"/>
        <w:rPr>
          <w:rFonts w:ascii="Times New Roman" w:hAnsi="Times New Roman" w:cs="Times New Roman"/>
        </w:rPr>
      </w:pPr>
    </w:p>
    <w:sectPr w:rsidR="00CF6259" w:rsidRPr="006C19D4" w:rsidSect="004F6E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95" w:rsidRDefault="00131C95" w:rsidP="00235878">
      <w:pPr>
        <w:spacing w:after="0" w:line="240" w:lineRule="auto"/>
      </w:pPr>
      <w:r>
        <w:separator/>
      </w:r>
    </w:p>
  </w:endnote>
  <w:endnote w:type="continuationSeparator" w:id="0">
    <w:p w:rsidR="00131C95" w:rsidRDefault="00131C95" w:rsidP="002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039"/>
      <w:docPartObj>
        <w:docPartGallery w:val="Page Numbers (Bottom of Page)"/>
        <w:docPartUnique/>
      </w:docPartObj>
    </w:sdtPr>
    <w:sdtEndPr/>
    <w:sdtContent>
      <w:p w:rsidR="00235878" w:rsidRDefault="00620227">
        <w:pPr>
          <w:pStyle w:val="a5"/>
          <w:jc w:val="right"/>
        </w:pPr>
        <w:r w:rsidRPr="00235878">
          <w:rPr>
            <w:rFonts w:ascii="Times New Roman" w:hAnsi="Times New Roman" w:cs="Times New Roman"/>
          </w:rPr>
          <w:fldChar w:fldCharType="begin"/>
        </w:r>
        <w:r w:rsidR="00235878" w:rsidRPr="00235878">
          <w:rPr>
            <w:rFonts w:ascii="Times New Roman" w:hAnsi="Times New Roman" w:cs="Times New Roman"/>
          </w:rPr>
          <w:instrText xml:space="preserve"> PAGE   \* MERGEFORMAT </w:instrText>
        </w:r>
        <w:r w:rsidRPr="00235878">
          <w:rPr>
            <w:rFonts w:ascii="Times New Roman" w:hAnsi="Times New Roman" w:cs="Times New Roman"/>
          </w:rPr>
          <w:fldChar w:fldCharType="separate"/>
        </w:r>
        <w:r w:rsidR="00AA2CE5">
          <w:rPr>
            <w:rFonts w:ascii="Times New Roman" w:hAnsi="Times New Roman" w:cs="Times New Roman"/>
            <w:noProof/>
          </w:rPr>
          <w:t>3</w:t>
        </w:r>
        <w:r w:rsidRPr="00235878">
          <w:rPr>
            <w:rFonts w:ascii="Times New Roman" w:hAnsi="Times New Roman" w:cs="Times New Roman"/>
          </w:rPr>
          <w:fldChar w:fldCharType="end"/>
        </w:r>
      </w:p>
    </w:sdtContent>
  </w:sdt>
  <w:p w:rsidR="00235878" w:rsidRDefault="0023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95" w:rsidRDefault="00131C95" w:rsidP="00235878">
      <w:pPr>
        <w:spacing w:after="0" w:line="240" w:lineRule="auto"/>
      </w:pPr>
      <w:r>
        <w:separator/>
      </w:r>
    </w:p>
  </w:footnote>
  <w:footnote w:type="continuationSeparator" w:id="0">
    <w:p w:rsidR="00131C95" w:rsidRDefault="00131C95" w:rsidP="0023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36"/>
    <w:rsid w:val="00131C95"/>
    <w:rsid w:val="00215D36"/>
    <w:rsid w:val="002248C1"/>
    <w:rsid w:val="00235878"/>
    <w:rsid w:val="002B6043"/>
    <w:rsid w:val="003973D9"/>
    <w:rsid w:val="003E45C5"/>
    <w:rsid w:val="004218C1"/>
    <w:rsid w:val="004A15A3"/>
    <w:rsid w:val="004F6E7A"/>
    <w:rsid w:val="005F35FA"/>
    <w:rsid w:val="00603C3D"/>
    <w:rsid w:val="00620227"/>
    <w:rsid w:val="006C19D4"/>
    <w:rsid w:val="00743988"/>
    <w:rsid w:val="00910322"/>
    <w:rsid w:val="0091189B"/>
    <w:rsid w:val="009A0C34"/>
    <w:rsid w:val="00AA2CE5"/>
    <w:rsid w:val="00C4272C"/>
    <w:rsid w:val="00E14483"/>
    <w:rsid w:val="00E735BB"/>
    <w:rsid w:val="00EE780B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CD3B-AE9D-4EFD-9C3C-1296E5A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36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878"/>
  </w:style>
  <w:style w:type="paragraph" w:styleId="a5">
    <w:name w:val="footer"/>
    <w:basedOn w:val="a"/>
    <w:link w:val="a6"/>
    <w:uiPriority w:val="99"/>
    <w:unhideWhenUsed/>
    <w:rsid w:val="0023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Алина</cp:lastModifiedBy>
  <cp:revision>8</cp:revision>
  <dcterms:created xsi:type="dcterms:W3CDTF">2015-02-18T11:43:00Z</dcterms:created>
  <dcterms:modified xsi:type="dcterms:W3CDTF">2015-02-19T08:38:00Z</dcterms:modified>
</cp:coreProperties>
</file>