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F0" w:rsidRPr="00161DBD" w:rsidRDefault="001B4DF0" w:rsidP="001B4DF0">
      <w:pPr>
        <w:ind w:left="-284" w:right="-285" w:firstLine="14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.85pt;margin-top:-1.45pt;width:413.5pt;height:98.25pt;z-index:251658240" stroked="f">
            <v:textbox style="mso-next-textbox:#_x0000_s1026">
              <w:txbxContent>
                <w:p w:rsidR="001B4DF0" w:rsidRPr="00EC1C7E" w:rsidRDefault="001B4DF0" w:rsidP="001B4DF0">
                  <w:pPr>
                    <w:tabs>
                      <w:tab w:val="left" w:pos="7938"/>
                    </w:tabs>
                    <w:adjustRightInd w:val="0"/>
                    <w:ind w:left="0" w:right="174" w:firstLine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Ответы, предоставленные</w:t>
                  </w:r>
                  <w:r w:rsidRPr="00EC1C7E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BA3DBD" w:rsidRPr="00BA3DBD">
                    <w:rPr>
                      <w:b/>
                      <w:sz w:val="26"/>
                      <w:szCs w:val="26"/>
                    </w:rPr>
                    <w:t xml:space="preserve">Банком России </w:t>
                  </w:r>
                  <w:r w:rsidRPr="00EC1C7E">
                    <w:rPr>
                      <w:b/>
                      <w:sz w:val="26"/>
                      <w:szCs w:val="26"/>
                    </w:rPr>
                    <w:t>на вопрос</w:t>
                  </w:r>
                  <w:r>
                    <w:rPr>
                      <w:b/>
                      <w:sz w:val="26"/>
                      <w:szCs w:val="26"/>
                    </w:rPr>
                    <w:t>ы</w:t>
                  </w:r>
                  <w:r w:rsidR="00BA3DBD">
                    <w:rPr>
                      <w:b/>
                      <w:sz w:val="26"/>
                      <w:szCs w:val="26"/>
                    </w:rPr>
                    <w:t xml:space="preserve"> по денежно-кредитной политике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Pr="00EC1C7E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C1C7E">
                    <w:rPr>
                      <w:b/>
                      <w:bCs/>
                      <w:sz w:val="26"/>
                      <w:szCs w:val="26"/>
                    </w:rPr>
                    <w:t>поступивши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е</w:t>
                  </w:r>
                  <w:r w:rsidRPr="00EC1C7E">
                    <w:rPr>
                      <w:b/>
                      <w:bCs/>
                      <w:sz w:val="26"/>
                      <w:szCs w:val="26"/>
                    </w:rPr>
                    <w:t xml:space="preserve"> в Оргкомитет от участнико</w:t>
                  </w:r>
                  <w:proofErr w:type="gramStart"/>
                  <w:r w:rsidRPr="00EC1C7E">
                    <w:rPr>
                      <w:b/>
                      <w:bCs/>
                      <w:sz w:val="26"/>
                      <w:szCs w:val="26"/>
                    </w:rPr>
                    <w:t xml:space="preserve">в к </w:t>
                  </w:r>
                  <w:r w:rsidRPr="00EC1C7E">
                    <w:rPr>
                      <w:b/>
                      <w:sz w:val="26"/>
                      <w:szCs w:val="26"/>
                    </w:rPr>
                    <w:t>встр</w:t>
                  </w:r>
                  <w:proofErr w:type="gramEnd"/>
                  <w:r w:rsidRPr="00EC1C7E">
                    <w:rPr>
                      <w:b/>
                      <w:sz w:val="26"/>
                      <w:szCs w:val="26"/>
                    </w:rPr>
                    <w:t xml:space="preserve">ече </w:t>
                  </w:r>
                  <w:r w:rsidRPr="00EC1C7E">
                    <w:rPr>
                      <w:b/>
                      <w:bCs/>
                      <w:sz w:val="26"/>
                      <w:szCs w:val="26"/>
                    </w:rPr>
                    <w:t>руководителей Банка России</w:t>
                  </w:r>
                  <w:r w:rsidRPr="00EC1C7E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C1C7E">
                    <w:rPr>
                      <w:b/>
                      <w:bCs/>
                      <w:sz w:val="26"/>
                      <w:szCs w:val="26"/>
                    </w:rPr>
                    <w:t>с руководителями коммерческих банков 1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1</w:t>
                  </w:r>
                  <w:r w:rsidRPr="00EC1C7E">
                    <w:rPr>
                      <w:b/>
                      <w:bCs/>
                      <w:sz w:val="26"/>
                      <w:szCs w:val="26"/>
                    </w:rPr>
                    <w:t xml:space="preserve"> - 1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</w:t>
                  </w:r>
                  <w:r w:rsidRPr="00EC1C7E">
                    <w:rPr>
                      <w:b/>
                      <w:bCs/>
                      <w:sz w:val="26"/>
                      <w:szCs w:val="26"/>
                    </w:rPr>
                    <w:t xml:space="preserve"> февраля 201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6</w:t>
                  </w:r>
                  <w:r w:rsidRPr="00EC1C7E">
                    <w:rPr>
                      <w:b/>
                      <w:bCs/>
                      <w:sz w:val="26"/>
                      <w:szCs w:val="26"/>
                    </w:rPr>
                    <w:t>г. в ОПК «БОР»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190625" cy="113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26" w:rsidRPr="000F584D" w:rsidRDefault="00195C15" w:rsidP="000F584D">
      <w:pPr>
        <w:pStyle w:val="ConsPlusNormal"/>
        <w:tabs>
          <w:tab w:val="left" w:pos="851"/>
          <w:tab w:val="left" w:pos="993"/>
        </w:tabs>
        <w:spacing w:line="276" w:lineRule="auto"/>
        <w:ind w:firstLine="567"/>
        <w:jc w:val="center"/>
        <w:rPr>
          <w:i/>
          <w:sz w:val="26"/>
          <w:szCs w:val="26"/>
          <w:u w:val="single"/>
        </w:rPr>
      </w:pPr>
      <w:r w:rsidRPr="000F584D">
        <w:rPr>
          <w:i/>
          <w:sz w:val="26"/>
          <w:szCs w:val="26"/>
          <w:u w:val="single"/>
        </w:rPr>
        <w:t>Блок «Вопросы».</w:t>
      </w:r>
    </w:p>
    <w:p w:rsidR="00195C15" w:rsidRPr="000F584D" w:rsidRDefault="00195C15" w:rsidP="000F584D">
      <w:pPr>
        <w:pStyle w:val="ConsPlusNormal"/>
        <w:tabs>
          <w:tab w:val="left" w:pos="851"/>
          <w:tab w:val="left" w:pos="993"/>
        </w:tabs>
        <w:spacing w:line="276" w:lineRule="auto"/>
        <w:ind w:firstLine="567"/>
        <w:jc w:val="center"/>
        <w:rPr>
          <w:i/>
          <w:sz w:val="26"/>
          <w:szCs w:val="26"/>
          <w:u w:val="single"/>
        </w:rPr>
      </w:pPr>
    </w:p>
    <w:p w:rsidR="000F584D" w:rsidRPr="000F584D" w:rsidRDefault="000F584D" w:rsidP="000F584D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  <w:r w:rsidRPr="000F584D">
        <w:rPr>
          <w:rFonts w:cs="Times New Roman"/>
          <w:sz w:val="26"/>
          <w:szCs w:val="26"/>
        </w:rPr>
        <w:t xml:space="preserve">Каковы причины сокращения видов операций в рамках Положения 312-П? </w:t>
      </w:r>
    </w:p>
    <w:p w:rsidR="000F584D" w:rsidRPr="004F18CC" w:rsidRDefault="004F18CC" w:rsidP="004F18CC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4F18CC">
        <w:rPr>
          <w:rFonts w:cs="Times New Roman"/>
          <w:b/>
          <w:sz w:val="26"/>
          <w:szCs w:val="26"/>
        </w:rPr>
        <w:t>Ответ</w:t>
      </w:r>
      <w:r w:rsidR="003B09CF">
        <w:rPr>
          <w:rFonts w:cs="Times New Roman"/>
          <w:b/>
          <w:sz w:val="26"/>
          <w:szCs w:val="26"/>
        </w:rPr>
        <w:t xml:space="preserve"> ЦБ РФ</w:t>
      </w:r>
      <w:r w:rsidRPr="004F18CC">
        <w:rPr>
          <w:rFonts w:cs="Times New Roman"/>
          <w:b/>
          <w:sz w:val="26"/>
          <w:szCs w:val="26"/>
        </w:rPr>
        <w:t>:</w:t>
      </w:r>
    </w:p>
    <w:p w:rsidR="004F18CC" w:rsidRPr="004F18CC" w:rsidRDefault="004F18CC" w:rsidP="004F18CC">
      <w:pPr>
        <w:shd w:val="clear" w:color="auto" w:fill="FFFFFF"/>
        <w:spacing w:after="0"/>
        <w:ind w:left="10" w:right="5" w:firstLine="696"/>
        <w:rPr>
          <w:sz w:val="26"/>
          <w:szCs w:val="26"/>
        </w:rPr>
      </w:pPr>
      <w:r w:rsidRPr="004F18CC">
        <w:rPr>
          <w:rFonts w:eastAsia="Times New Roman" w:cs="Times New Roman"/>
          <w:spacing w:val="-2"/>
          <w:sz w:val="26"/>
          <w:szCs w:val="26"/>
        </w:rPr>
        <w:t xml:space="preserve">Положение Банка России № 312-П, как и ранее, предусматривает </w:t>
      </w:r>
      <w:r w:rsidRPr="004F18CC">
        <w:rPr>
          <w:rFonts w:eastAsia="Times New Roman" w:cs="Times New Roman"/>
          <w:sz w:val="26"/>
          <w:szCs w:val="26"/>
        </w:rPr>
        <w:t xml:space="preserve">возможность проведения всех видов операций по предоставлению </w:t>
      </w:r>
      <w:r w:rsidRPr="004F18CC">
        <w:rPr>
          <w:rFonts w:eastAsia="Times New Roman" w:cs="Times New Roman"/>
          <w:spacing w:val="-2"/>
          <w:sz w:val="26"/>
          <w:szCs w:val="26"/>
        </w:rPr>
        <w:t xml:space="preserve">обеспеченных кредитов Банка России - </w:t>
      </w:r>
      <w:proofErr w:type="spellStart"/>
      <w:r w:rsidRPr="004F18CC">
        <w:rPr>
          <w:rFonts w:eastAsia="Times New Roman" w:cs="Times New Roman"/>
          <w:spacing w:val="-2"/>
          <w:sz w:val="26"/>
          <w:szCs w:val="26"/>
        </w:rPr>
        <w:t>внутридневных</w:t>
      </w:r>
      <w:proofErr w:type="spellEnd"/>
      <w:r w:rsidRPr="004F18CC">
        <w:rPr>
          <w:rFonts w:eastAsia="Times New Roman" w:cs="Times New Roman"/>
          <w:spacing w:val="-2"/>
          <w:sz w:val="26"/>
          <w:szCs w:val="26"/>
        </w:rPr>
        <w:t xml:space="preserve"> кредитов, кредитов </w:t>
      </w:r>
      <w:proofErr w:type="spellStart"/>
      <w:r w:rsidRPr="004F18CC">
        <w:rPr>
          <w:rFonts w:eastAsia="Times New Roman" w:cs="Times New Roman"/>
          <w:spacing w:val="-2"/>
          <w:sz w:val="26"/>
          <w:szCs w:val="26"/>
        </w:rPr>
        <w:t>овернайт</w:t>
      </w:r>
      <w:proofErr w:type="spellEnd"/>
      <w:r w:rsidRPr="004F18CC">
        <w:rPr>
          <w:rFonts w:eastAsia="Times New Roman" w:cs="Times New Roman"/>
          <w:spacing w:val="-2"/>
          <w:sz w:val="26"/>
          <w:szCs w:val="26"/>
        </w:rPr>
        <w:t xml:space="preserve">, кредитов по фиксированной процентной ставке и кредитов на </w:t>
      </w:r>
      <w:r w:rsidRPr="004F18CC">
        <w:rPr>
          <w:rFonts w:eastAsia="Times New Roman" w:cs="Times New Roman"/>
          <w:sz w:val="26"/>
          <w:szCs w:val="26"/>
        </w:rPr>
        <w:t>аукционной основе.</w:t>
      </w:r>
    </w:p>
    <w:p w:rsidR="004F18CC" w:rsidRPr="004F18CC" w:rsidRDefault="004F18CC" w:rsidP="004F18CC">
      <w:pPr>
        <w:shd w:val="clear" w:color="auto" w:fill="FFFFFF"/>
        <w:spacing w:after="0"/>
        <w:ind w:left="10" w:right="10" w:firstLine="696"/>
        <w:rPr>
          <w:sz w:val="26"/>
          <w:szCs w:val="26"/>
        </w:rPr>
      </w:pPr>
      <w:r w:rsidRPr="004F18CC">
        <w:rPr>
          <w:rFonts w:eastAsia="Times New Roman" w:cs="Times New Roman"/>
          <w:spacing w:val="-3"/>
          <w:sz w:val="26"/>
          <w:szCs w:val="26"/>
        </w:rPr>
        <w:t xml:space="preserve">Что касается предлагаемого Банком России кредитным организациям в </w:t>
      </w:r>
      <w:r w:rsidRPr="004F18CC">
        <w:rPr>
          <w:rFonts w:eastAsia="Times New Roman" w:cs="Times New Roman"/>
          <w:spacing w:val="-2"/>
          <w:sz w:val="26"/>
          <w:szCs w:val="26"/>
        </w:rPr>
        <w:t xml:space="preserve">каждый период времени набора операций и условий их проведения, то они </w:t>
      </w:r>
      <w:r w:rsidRPr="004F18CC">
        <w:rPr>
          <w:rFonts w:eastAsia="Times New Roman" w:cs="Times New Roman"/>
          <w:spacing w:val="-3"/>
          <w:sz w:val="26"/>
          <w:szCs w:val="26"/>
        </w:rPr>
        <w:t xml:space="preserve">определяются органами управления Банка России исходя из необходимости </w:t>
      </w:r>
      <w:r w:rsidRPr="004F18CC">
        <w:rPr>
          <w:rFonts w:eastAsia="Times New Roman" w:cs="Times New Roman"/>
          <w:sz w:val="26"/>
          <w:szCs w:val="26"/>
        </w:rPr>
        <w:t>достижения целей денежно-кредитной политики.</w:t>
      </w:r>
    </w:p>
    <w:p w:rsidR="004F18CC" w:rsidRPr="004F18CC" w:rsidRDefault="004F18CC" w:rsidP="004F18CC">
      <w:pPr>
        <w:shd w:val="clear" w:color="auto" w:fill="FFFFFF"/>
        <w:spacing w:after="0"/>
        <w:ind w:left="10" w:firstLine="696"/>
        <w:rPr>
          <w:sz w:val="26"/>
          <w:szCs w:val="26"/>
        </w:rPr>
      </w:pPr>
      <w:r w:rsidRPr="004F18CC">
        <w:rPr>
          <w:rFonts w:eastAsia="Times New Roman" w:cs="Times New Roman"/>
          <w:sz w:val="26"/>
          <w:szCs w:val="26"/>
        </w:rPr>
        <w:t xml:space="preserve">В настоящее время в рамках Положения 312-П Банк России продолжает проводить как кредитные аукционы, так и предоставлять </w:t>
      </w:r>
      <w:r w:rsidRPr="004F18CC">
        <w:rPr>
          <w:rFonts w:eastAsia="Times New Roman" w:cs="Times New Roman"/>
          <w:spacing w:val="-2"/>
          <w:sz w:val="26"/>
          <w:szCs w:val="26"/>
        </w:rPr>
        <w:t xml:space="preserve">кредиты с помощью инструментов постоянного действия. Вместе с тем Банк </w:t>
      </w:r>
      <w:r w:rsidRPr="004F18CC">
        <w:rPr>
          <w:rFonts w:eastAsia="Times New Roman" w:cs="Times New Roman"/>
          <w:sz w:val="26"/>
          <w:szCs w:val="26"/>
        </w:rPr>
        <w:t xml:space="preserve">России принял решение приостановить выдачу кредитов кредитным </w:t>
      </w:r>
      <w:r w:rsidRPr="004F18CC">
        <w:rPr>
          <w:rFonts w:eastAsia="Times New Roman" w:cs="Times New Roman"/>
          <w:spacing w:val="-2"/>
          <w:sz w:val="26"/>
          <w:szCs w:val="26"/>
        </w:rPr>
        <w:t xml:space="preserve">организациям под поручительства других кредитных организаций в связи со </w:t>
      </w:r>
      <w:r w:rsidRPr="004F18CC">
        <w:rPr>
          <w:rFonts w:eastAsia="Times New Roman" w:cs="Times New Roman"/>
          <w:spacing w:val="-3"/>
          <w:sz w:val="26"/>
          <w:szCs w:val="26"/>
        </w:rPr>
        <w:t xml:space="preserve">значительным увеличением с начала 2015 г. объема свободного обеспечения, </w:t>
      </w:r>
      <w:r w:rsidRPr="004F18CC">
        <w:rPr>
          <w:rFonts w:eastAsia="Times New Roman" w:cs="Times New Roman"/>
          <w:sz w:val="26"/>
          <w:szCs w:val="26"/>
        </w:rPr>
        <w:t xml:space="preserve">не использованного кредитными организациями, а также принимая во </w:t>
      </w:r>
      <w:r w:rsidRPr="004F18CC">
        <w:rPr>
          <w:rFonts w:eastAsia="Times New Roman" w:cs="Times New Roman"/>
          <w:spacing w:val="-2"/>
          <w:sz w:val="26"/>
          <w:szCs w:val="26"/>
        </w:rPr>
        <w:t>внимание снижение структурного дефицита ликвидности.</w:t>
      </w:r>
    </w:p>
    <w:p w:rsidR="004F18CC" w:rsidRPr="000F584D" w:rsidRDefault="004F18CC" w:rsidP="004F18CC">
      <w:pPr>
        <w:tabs>
          <w:tab w:val="left" w:pos="851"/>
        </w:tabs>
        <w:spacing w:after="0"/>
        <w:ind w:left="0" w:firstLine="0"/>
        <w:rPr>
          <w:rFonts w:cs="Times New Roman"/>
          <w:sz w:val="26"/>
          <w:szCs w:val="26"/>
        </w:rPr>
      </w:pPr>
    </w:p>
    <w:p w:rsidR="000F584D" w:rsidRPr="000F584D" w:rsidRDefault="000F584D" w:rsidP="000F584D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  <w:r w:rsidRPr="000F584D">
        <w:rPr>
          <w:rFonts w:cs="Times New Roman"/>
          <w:sz w:val="26"/>
          <w:szCs w:val="26"/>
        </w:rPr>
        <w:t xml:space="preserve">Планирует ли Банк России увеличить срок предоставления ломбардных кредитов (под залог ценных бумаг) по фиксированным процентным ставкам, а также срок сделок прямого РЕПО по фиксированной процентной ставке в рамках расширения возможностей рефинансирования кредитных организаций? На текущую дату по ломбардным кредитам действует только один срок – 1 календарный день, когда как по другим кредитам ЦБ РФ (обеспеченных золотом, активами и </w:t>
      </w:r>
      <w:proofErr w:type="gramStart"/>
      <w:r w:rsidRPr="000F584D">
        <w:rPr>
          <w:rFonts w:cs="Times New Roman"/>
          <w:sz w:val="26"/>
          <w:szCs w:val="26"/>
        </w:rPr>
        <w:t xml:space="preserve">поручительствами) </w:t>
      </w:r>
      <w:proofErr w:type="gramEnd"/>
      <w:r w:rsidRPr="000F584D">
        <w:rPr>
          <w:rFonts w:cs="Times New Roman"/>
          <w:sz w:val="26"/>
          <w:szCs w:val="26"/>
        </w:rPr>
        <w:t>сроки установлены до 549 дней.</w:t>
      </w:r>
    </w:p>
    <w:p w:rsidR="003B09CF" w:rsidRPr="003B09CF" w:rsidRDefault="003B09CF" w:rsidP="003B09CF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3B09CF">
        <w:rPr>
          <w:rFonts w:cs="Times New Roman"/>
          <w:b/>
          <w:sz w:val="26"/>
          <w:szCs w:val="26"/>
        </w:rPr>
        <w:t>Ответ ЦБ РФ:</w:t>
      </w:r>
    </w:p>
    <w:p w:rsidR="003B09CF" w:rsidRPr="003B09CF" w:rsidRDefault="003B09CF" w:rsidP="003B09CF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3B09CF">
        <w:rPr>
          <w:rFonts w:eastAsia="Times New Roman" w:cs="Times New Roman"/>
          <w:sz w:val="26"/>
          <w:szCs w:val="26"/>
        </w:rPr>
        <w:t xml:space="preserve">В настоящее время Банк России не намерен увеличивать сроки предоставления ликвидности под рыночные активы по инструментам постоянного действия. Комплекс мер по оптимизации системы процентных инструментов денежно-кредитной политики, реализуемых по решению Совета директоров Банка России от 13.09.2013, изначально предусматривал приостановление с 1.02.2014 проведения всех операций постоянного действия на сроки свыше 1 дня. Вместе с тем сроки предоставления ликвидности под нерыночные активы свыше 1 дня по инструментам постоянного действия не были отменены в феврале 2014 года из-за </w:t>
      </w:r>
      <w:r w:rsidRPr="003B09CF">
        <w:rPr>
          <w:rFonts w:eastAsia="Times New Roman" w:cs="Times New Roman"/>
          <w:sz w:val="26"/>
          <w:szCs w:val="26"/>
        </w:rPr>
        <w:lastRenderedPageBreak/>
        <w:t>имевшихся в то время проблем, связанных с усилением дефицита обеспечения у кредитных организаций. В настоящее время Банк России не видит необходимости в принятии дополнительных решений по данным вопросам.</w:t>
      </w:r>
    </w:p>
    <w:p w:rsidR="003B09CF" w:rsidRPr="003B09CF" w:rsidRDefault="003B09CF" w:rsidP="003B09CF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3B09CF">
        <w:rPr>
          <w:rFonts w:eastAsia="Times New Roman" w:cs="Times New Roman"/>
          <w:sz w:val="26"/>
          <w:szCs w:val="26"/>
        </w:rPr>
        <w:t>При определении лимитов по аукционным операциям РЕПО на срок 1 неделя Банк России предоставляет кредитным организациям возможность заместить задолженность по однодневным кредитам и операциям РЕПО, предоставляемым по фиксированным ставкам, задолженностью по недельным операциям.</w:t>
      </w:r>
    </w:p>
    <w:p w:rsidR="003B09CF" w:rsidRPr="000F584D" w:rsidRDefault="003B09CF" w:rsidP="003B09CF">
      <w:pPr>
        <w:tabs>
          <w:tab w:val="left" w:pos="851"/>
        </w:tabs>
        <w:spacing w:after="0"/>
        <w:rPr>
          <w:rFonts w:cs="Times New Roman"/>
          <w:sz w:val="26"/>
          <w:szCs w:val="26"/>
        </w:rPr>
      </w:pPr>
    </w:p>
    <w:p w:rsidR="000F584D" w:rsidRPr="000F584D" w:rsidRDefault="000F584D" w:rsidP="000F584D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  <w:r w:rsidRPr="000F584D">
        <w:rPr>
          <w:rFonts w:cs="Times New Roman"/>
          <w:sz w:val="26"/>
          <w:szCs w:val="26"/>
        </w:rPr>
        <w:t>Планируется ли расширение перечня заемщиков, принимаемых в обеспечение по кредитам Банка России (312-П) кредитными требованиям</w:t>
      </w:r>
      <w:r w:rsidR="00ED0C4F">
        <w:rPr>
          <w:rFonts w:cs="Times New Roman"/>
          <w:sz w:val="26"/>
          <w:szCs w:val="26"/>
        </w:rPr>
        <w:t>и</w:t>
      </w:r>
      <w:r w:rsidRPr="000F584D">
        <w:rPr>
          <w:rFonts w:cs="Times New Roman"/>
          <w:sz w:val="26"/>
          <w:szCs w:val="26"/>
        </w:rPr>
        <w:t xml:space="preserve"> к финансовым организациям, в частности, к лизинговым компаниям, ценные бумаги которых включены в ломбардный список ЦБ РФ, например, ГТЛК?</w:t>
      </w:r>
    </w:p>
    <w:p w:rsidR="000F584D" w:rsidRPr="00EC4AB4" w:rsidRDefault="00EC4AB4" w:rsidP="00EC4AB4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EC4AB4">
        <w:rPr>
          <w:rFonts w:cs="Times New Roman"/>
          <w:b/>
          <w:sz w:val="26"/>
          <w:szCs w:val="26"/>
        </w:rPr>
        <w:t>Ответ ЦБ РФ:</w:t>
      </w:r>
    </w:p>
    <w:p w:rsidR="00EC4AB4" w:rsidRPr="00EC4AB4" w:rsidRDefault="00EC4AB4" w:rsidP="00EC4AB4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EC4AB4">
        <w:rPr>
          <w:rFonts w:eastAsia="Times New Roman" w:cs="Times New Roman"/>
          <w:sz w:val="26"/>
          <w:szCs w:val="26"/>
        </w:rPr>
        <w:t>Положение Банка России № 312-П было разработано в качестве инструмента, в соответствии с которым кредитные организации, соот</w:t>
      </w:r>
      <w:r>
        <w:rPr>
          <w:rFonts w:eastAsia="Times New Roman" w:cs="Times New Roman"/>
          <w:sz w:val="26"/>
          <w:szCs w:val="26"/>
        </w:rPr>
        <w:t>ветствующие  требованиям Банка</w:t>
      </w:r>
      <w:r w:rsidRPr="00EC4AB4">
        <w:rPr>
          <w:rFonts w:eastAsia="Times New Roman" w:cs="Times New Roman"/>
          <w:sz w:val="26"/>
          <w:szCs w:val="26"/>
        </w:rPr>
        <w:t xml:space="preserve"> Р</w:t>
      </w:r>
      <w:r>
        <w:rPr>
          <w:rFonts w:eastAsia="Times New Roman" w:cs="Times New Roman"/>
          <w:sz w:val="26"/>
          <w:szCs w:val="26"/>
        </w:rPr>
        <w:t xml:space="preserve">оссии, могут </w:t>
      </w:r>
      <w:r w:rsidRPr="00EC4AB4">
        <w:rPr>
          <w:rFonts w:eastAsia="Times New Roman" w:cs="Times New Roman"/>
          <w:sz w:val="26"/>
          <w:szCs w:val="26"/>
        </w:rPr>
        <w:t>рефинансировать в Банке России свои требования к организациям реального сектора экономики.</w:t>
      </w:r>
    </w:p>
    <w:p w:rsidR="0016564D" w:rsidRPr="0016564D" w:rsidRDefault="0016564D" w:rsidP="0016564D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6564D">
        <w:rPr>
          <w:rFonts w:eastAsia="Times New Roman" w:cs="Times New Roman"/>
          <w:sz w:val="26"/>
          <w:szCs w:val="26"/>
        </w:rPr>
        <w:t xml:space="preserve">Включение в состав </w:t>
      </w:r>
      <w:proofErr w:type="gramStart"/>
      <w:r w:rsidRPr="0016564D">
        <w:rPr>
          <w:rFonts w:eastAsia="Times New Roman" w:cs="Times New Roman"/>
          <w:sz w:val="26"/>
          <w:szCs w:val="26"/>
        </w:rPr>
        <w:t>обеспечения кредитов Банка России прав требования</w:t>
      </w:r>
      <w:proofErr w:type="gramEnd"/>
      <w:r w:rsidRPr="0016564D">
        <w:rPr>
          <w:rFonts w:eastAsia="Times New Roman" w:cs="Times New Roman"/>
          <w:sz w:val="26"/>
          <w:szCs w:val="26"/>
        </w:rPr>
        <w:t xml:space="preserve"> по кредитам, предоставленным организациям финансового сектора, в том числе лизинговым компаниям, противоречит принципам Положения № 312-П.</w:t>
      </w:r>
    </w:p>
    <w:p w:rsidR="0016564D" w:rsidRPr="0016564D" w:rsidRDefault="0016564D" w:rsidP="0016564D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6564D">
        <w:rPr>
          <w:rFonts w:eastAsia="Times New Roman" w:cs="Times New Roman"/>
          <w:sz w:val="26"/>
          <w:szCs w:val="26"/>
        </w:rPr>
        <w:t>Вместе с тем, кредитные организации, соответствующие требованиям Банка России, могут рефинансировать права требования по кредитам, предоставленным лизинговым компаниям, в рамках иных механизмов рефинансирования Банка России. Так, в соответствии с приказом Банка России от 11.08.2009 № ОД-561 обеспечением по кредитам Банка России выступают, в том числе, права требования по кредитным договорам, заключенным АО «МСП Банк» с лизинговыми компаниями, имеющим целевой характер, связанный с предоставлением имущества в лизинг субъектам малого и среднего предпринимательства. В соответствии с указанным механизмом кредиты Банка России предоставляются АО «МСП Банк» по процентной ставке 6,5% годовых на срок до 3 лет.</w:t>
      </w:r>
    </w:p>
    <w:p w:rsidR="0016564D" w:rsidRPr="0016564D" w:rsidRDefault="0016564D" w:rsidP="0016564D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6564D">
        <w:rPr>
          <w:rFonts w:eastAsia="Times New Roman" w:cs="Times New Roman"/>
          <w:sz w:val="26"/>
          <w:szCs w:val="26"/>
        </w:rPr>
        <w:t xml:space="preserve">В то же время в январе 2016 года Банк России при участии </w:t>
      </w:r>
      <w:proofErr w:type="spellStart"/>
      <w:r w:rsidRPr="0016564D">
        <w:rPr>
          <w:rFonts w:eastAsia="Times New Roman" w:cs="Times New Roman"/>
          <w:sz w:val="26"/>
          <w:szCs w:val="26"/>
        </w:rPr>
        <w:t>Минпромторга</w:t>
      </w:r>
      <w:proofErr w:type="spellEnd"/>
      <w:r w:rsidRPr="0016564D">
        <w:rPr>
          <w:rFonts w:eastAsia="Times New Roman" w:cs="Times New Roman"/>
          <w:sz w:val="26"/>
          <w:szCs w:val="26"/>
        </w:rPr>
        <w:t xml:space="preserve"> России и Фонда развития промышленности создал новый специализированный механизм рефинансирования. В рамках данного механизма кредитные организации смогут рефинансировать в Банке России кредиты, предоставленные на реализацию лизинговых проектов, отобранных Экспертным советом Фонда развития промышленности в соответствии со Стандартом «Порядок отбора и экспертизы проектов по программе Лизинговые проекты», утвержденным указанным Фондом.</w:t>
      </w:r>
    </w:p>
    <w:p w:rsidR="0016564D" w:rsidRPr="0016564D" w:rsidRDefault="0016564D" w:rsidP="0016564D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6564D">
        <w:rPr>
          <w:rFonts w:eastAsia="Times New Roman" w:cs="Times New Roman"/>
          <w:sz w:val="26"/>
          <w:szCs w:val="26"/>
        </w:rPr>
        <w:t xml:space="preserve">С данным Стандартом можно ознакомиться на сайте Фонда развития промышленности в сети «Интернет» по адресу </w:t>
      </w:r>
      <w:hyperlink r:id="rId9" w:history="1">
        <w:r w:rsidRPr="0016564D">
          <w:rPr>
            <w:rFonts w:eastAsia="Times New Roman" w:cs="Times New Roman"/>
            <w:sz w:val="26"/>
            <w:szCs w:val="26"/>
          </w:rPr>
          <w:t>www.</w:t>
        </w:r>
        <w:proofErr w:type="spellStart"/>
        <w:r w:rsidRPr="0016564D">
          <w:rPr>
            <w:rFonts w:eastAsia="Times New Roman" w:cs="Times New Roman"/>
            <w:sz w:val="26"/>
            <w:szCs w:val="26"/>
          </w:rPr>
          <w:t>frprf</w:t>
        </w:r>
        <w:proofErr w:type="spellEnd"/>
        <w:r w:rsidRPr="0016564D">
          <w:rPr>
            <w:rFonts w:eastAsia="Times New Roman" w:cs="Times New Roman"/>
            <w:sz w:val="26"/>
            <w:szCs w:val="26"/>
          </w:rPr>
          <w:t>.</w:t>
        </w:r>
        <w:proofErr w:type="spellStart"/>
        <w:r w:rsidRPr="0016564D">
          <w:rPr>
            <w:rFonts w:eastAsia="Times New Roman" w:cs="Times New Roman"/>
            <w:sz w:val="26"/>
            <w:szCs w:val="26"/>
          </w:rPr>
          <w:t>ru</w:t>
        </w:r>
        <w:proofErr w:type="spellEnd"/>
        <w:r w:rsidRPr="0016564D">
          <w:rPr>
            <w:rFonts w:eastAsia="Times New Roman" w:cs="Times New Roman"/>
            <w:sz w:val="26"/>
            <w:szCs w:val="26"/>
          </w:rPr>
          <w:t>/</w:t>
        </w:r>
        <w:proofErr w:type="spellStart"/>
        <w:r w:rsidRPr="0016564D">
          <w:rPr>
            <w:rFonts w:eastAsia="Times New Roman" w:cs="Times New Roman"/>
            <w:sz w:val="26"/>
            <w:szCs w:val="26"/>
          </w:rPr>
          <w:t>lizing</w:t>
        </w:r>
        <w:proofErr w:type="spellEnd"/>
      </w:hyperlink>
      <w:r w:rsidRPr="0016564D">
        <w:rPr>
          <w:rFonts w:eastAsia="Times New Roman" w:cs="Times New Roman"/>
          <w:sz w:val="26"/>
          <w:szCs w:val="26"/>
        </w:rPr>
        <w:t>.</w:t>
      </w:r>
    </w:p>
    <w:p w:rsidR="0016564D" w:rsidRPr="0016564D" w:rsidRDefault="0016564D" w:rsidP="0016564D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6564D">
        <w:rPr>
          <w:rFonts w:eastAsia="Times New Roman" w:cs="Times New Roman"/>
          <w:sz w:val="26"/>
          <w:szCs w:val="26"/>
        </w:rPr>
        <w:t>Кредиты в соответствии с указанным механизмом предоставляются Банком России крупным кредитным организациям по процентной ставке 9% годовых на срок до 1095 календарных дней.</w:t>
      </w:r>
    </w:p>
    <w:p w:rsidR="00EC4AB4" w:rsidRPr="000F584D" w:rsidRDefault="00EC4AB4" w:rsidP="000F584D">
      <w:p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</w:p>
    <w:p w:rsidR="000F584D" w:rsidRPr="000F584D" w:rsidRDefault="000F584D" w:rsidP="000F584D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  <w:proofErr w:type="gramStart"/>
      <w:r w:rsidRPr="000F584D">
        <w:rPr>
          <w:rFonts w:cs="Times New Roman"/>
          <w:sz w:val="26"/>
          <w:szCs w:val="26"/>
        </w:rPr>
        <w:t>Принимая во внимание то, что с 1 января 2016 г. Банк России приравнял значение ставки рефинансирования к значению ключевой ставки, и ключевая ставка используется Банком России в качестве основного индикатора направленности денежно-кредитной политики, в то время как самостоятельное значение ставки рефинансирования более не устанавливается, просим уточнить, каковы, по мнению Банка России, перспективы существования и использования ставки рефинансирования в дальнейшем.</w:t>
      </w:r>
      <w:proofErr w:type="gramEnd"/>
      <w:r w:rsidRPr="000F584D">
        <w:rPr>
          <w:rFonts w:cs="Times New Roman"/>
          <w:sz w:val="26"/>
          <w:szCs w:val="26"/>
        </w:rPr>
        <w:t xml:space="preserve"> В частности, планируется ли сохранить ее для каких-либо целей или намечен постепенный отказ от использования ставки рефинансирования в качестве инструмента регулирования экономических отношений (в том числе ее использования в законодательстве РФ)?</w:t>
      </w:r>
    </w:p>
    <w:p w:rsidR="00174DB3" w:rsidRPr="00174DB3" w:rsidRDefault="00174DB3" w:rsidP="00174DB3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174DB3">
        <w:rPr>
          <w:rFonts w:cs="Times New Roman"/>
          <w:b/>
          <w:sz w:val="26"/>
          <w:szCs w:val="26"/>
        </w:rPr>
        <w:t>Ответ ЦБ РФ:</w:t>
      </w:r>
    </w:p>
    <w:p w:rsidR="00174DB3" w:rsidRPr="00174DB3" w:rsidRDefault="00174DB3" w:rsidP="00174DB3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74DB3">
        <w:rPr>
          <w:rFonts w:eastAsia="Times New Roman" w:cs="Times New Roman"/>
          <w:sz w:val="26"/>
          <w:szCs w:val="26"/>
        </w:rPr>
        <w:t>Ставка рефинансирования применяется как индикатор во многих нормативных актах Российской Федерации, иных актах и договорах для расчета штрафов, субсидий и других целей. В соответствии с принятым Банком России решением возможность применения ставки рефинансирования в качестве справочного индикатора в законодательстве Российской Федерации и в деловом обороте сохраняется. Таким образом, если, например, в договоре или нормативном правовом акте используется понятие «ставка рефинансирования», начиная с 1 января 2016 года при расчете, например, штрафов или субсидий, нужно будет исходить из ее нового уровня, который равен уровню ключевой ставки Банка России на соответствующую дату.</w:t>
      </w:r>
    </w:p>
    <w:p w:rsidR="00174DB3" w:rsidRPr="00174DB3" w:rsidRDefault="00174DB3" w:rsidP="00174DB3">
      <w:pPr>
        <w:shd w:val="clear" w:color="auto" w:fill="FFFFFF"/>
        <w:spacing w:after="0"/>
        <w:ind w:left="0" w:firstLine="696"/>
        <w:rPr>
          <w:rFonts w:eastAsia="Times New Roman" w:cs="Times New Roman"/>
          <w:sz w:val="26"/>
          <w:szCs w:val="26"/>
        </w:rPr>
      </w:pPr>
      <w:r w:rsidRPr="00174DB3">
        <w:rPr>
          <w:rFonts w:eastAsia="Times New Roman" w:cs="Times New Roman"/>
          <w:sz w:val="26"/>
          <w:szCs w:val="26"/>
        </w:rPr>
        <w:t xml:space="preserve">Вместе с тем в настоящее время Правительство Российской Федерации проводит работу по упорядочению применения ставки рефинансирования в нормативных правовых актах и замене ее в необходимых случаях другими базовыми индикаторами. </w:t>
      </w:r>
      <w:proofErr w:type="gramStart"/>
      <w:r w:rsidRPr="00174DB3">
        <w:rPr>
          <w:rFonts w:eastAsia="Times New Roman" w:cs="Times New Roman"/>
          <w:sz w:val="26"/>
          <w:szCs w:val="26"/>
        </w:rPr>
        <w:t>Постановлением Правительства Российской Федерации от 08.12.2015 № 1340 в целях обеспечения применения ключевой ставки Банка России в качестве индикатора стоимости заёмных средств установлено, что к отношениям, регулируемым актами Правительства Российской Федерации, в которых используется ставка рефинансирования Банка России, с 1 января 2016 года вместо указанной ставки применяется</w:t>
      </w:r>
      <w:r>
        <w:rPr>
          <w:rFonts w:eastAsia="Times New Roman" w:cs="Times New Roman"/>
          <w:sz w:val="26"/>
          <w:szCs w:val="26"/>
        </w:rPr>
        <w:t xml:space="preserve"> </w:t>
      </w:r>
      <w:r w:rsidRPr="00174DB3">
        <w:rPr>
          <w:rFonts w:eastAsia="Times New Roman" w:cs="Times New Roman"/>
          <w:sz w:val="26"/>
          <w:szCs w:val="26"/>
        </w:rPr>
        <w:t>ключевая ставка Банка России, если иное не предусмотрено федеральным законом.</w:t>
      </w:r>
      <w:proofErr w:type="gramEnd"/>
    </w:p>
    <w:p w:rsidR="00174DB3" w:rsidRPr="000F584D" w:rsidRDefault="00174DB3" w:rsidP="00174DB3">
      <w:pPr>
        <w:tabs>
          <w:tab w:val="left" w:pos="851"/>
        </w:tabs>
        <w:spacing w:after="0"/>
        <w:rPr>
          <w:rFonts w:cs="Times New Roman"/>
          <w:sz w:val="26"/>
          <w:szCs w:val="26"/>
        </w:rPr>
      </w:pPr>
    </w:p>
    <w:p w:rsidR="000F584D" w:rsidRPr="000F584D" w:rsidRDefault="000F584D" w:rsidP="000F584D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  <w:r w:rsidRPr="000F584D">
        <w:rPr>
          <w:rFonts w:cs="Times New Roman"/>
          <w:sz w:val="26"/>
          <w:szCs w:val="26"/>
        </w:rPr>
        <w:t xml:space="preserve">Каковы основные требования к банкам, допущенным к программе рефинансирования активов, застрахованных в ЭКСАР? Считает ли Банк России целесообразным учитывать активность российских банков в продвижении продуктов финансирования российского экспорта под страховое покрытие ЭКСАР при вынесении решений о возможности включения в Программу? </w:t>
      </w:r>
    </w:p>
    <w:p w:rsidR="00A13C76" w:rsidRPr="00A13C76" w:rsidRDefault="00A13C76" w:rsidP="00A13C76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A13C76">
        <w:rPr>
          <w:rFonts w:cs="Times New Roman"/>
          <w:b/>
          <w:sz w:val="26"/>
          <w:szCs w:val="26"/>
        </w:rPr>
        <w:t>Ответ ЦБ РФ:</w:t>
      </w:r>
    </w:p>
    <w:p w:rsidR="00A13C76" w:rsidRPr="00A13C76" w:rsidRDefault="00A13C76" w:rsidP="00A13C7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A13C76">
        <w:rPr>
          <w:rFonts w:eastAsia="Times New Roman" w:cs="Times New Roman"/>
          <w:sz w:val="26"/>
          <w:szCs w:val="26"/>
        </w:rPr>
        <w:t xml:space="preserve">При инициировании кредитной организацией вопроса об ее включении в состав участников данного механизма рефинансирования Банк России проводит </w:t>
      </w:r>
      <w:r w:rsidRPr="00A13C76">
        <w:rPr>
          <w:rFonts w:eastAsia="Times New Roman" w:cs="Times New Roman"/>
          <w:sz w:val="26"/>
          <w:szCs w:val="26"/>
        </w:rPr>
        <w:lastRenderedPageBreak/>
        <w:t>консультации с АО «ЭКСАР» и принимает решение с учетом мнения указанной организации.</w:t>
      </w:r>
    </w:p>
    <w:p w:rsidR="00A13C76" w:rsidRPr="00A13C76" w:rsidRDefault="00A13C76" w:rsidP="00A13C7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A13C76">
        <w:rPr>
          <w:rFonts w:eastAsia="Times New Roman" w:cs="Times New Roman"/>
          <w:sz w:val="26"/>
          <w:szCs w:val="26"/>
        </w:rPr>
        <w:t>Кроме того, на решение о включении кредитной организации в состав участников данного механизма рефинансирования влияет заключение надзорного блока Банка России, включая подразделение, осуществляющее финансовый мониторинг.</w:t>
      </w:r>
    </w:p>
    <w:p w:rsidR="00A13C76" w:rsidRDefault="00A13C76" w:rsidP="00A13C76">
      <w:pPr>
        <w:tabs>
          <w:tab w:val="left" w:pos="851"/>
        </w:tabs>
        <w:spacing w:after="0"/>
        <w:rPr>
          <w:rFonts w:cs="Times New Roman"/>
          <w:sz w:val="26"/>
          <w:szCs w:val="26"/>
        </w:rPr>
      </w:pPr>
    </w:p>
    <w:p w:rsidR="000F584D" w:rsidRDefault="000F584D" w:rsidP="000F584D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  <w:r w:rsidRPr="000F584D">
        <w:rPr>
          <w:rFonts w:cs="Times New Roman"/>
          <w:sz w:val="26"/>
          <w:szCs w:val="26"/>
        </w:rPr>
        <w:t xml:space="preserve">Возможно ли расширение </w:t>
      </w:r>
      <w:proofErr w:type="gramStart"/>
      <w:r w:rsidRPr="000F584D">
        <w:rPr>
          <w:rFonts w:cs="Times New Roman"/>
          <w:sz w:val="26"/>
          <w:szCs w:val="26"/>
        </w:rPr>
        <w:t>списка банков-участников Программы стимулирования кредитования субъектов малого</w:t>
      </w:r>
      <w:proofErr w:type="gramEnd"/>
      <w:r w:rsidRPr="000F584D">
        <w:rPr>
          <w:rFonts w:cs="Times New Roman"/>
          <w:sz w:val="26"/>
          <w:szCs w:val="26"/>
        </w:rPr>
        <w:t xml:space="preserve"> и среднего бизнеса, разработанной АО «Корпорация МСП» (Федеральная корпорация по развитию малого и среднего предпринимательства) при участии ЦБ РФ? В рамках данной программы банки-участники получают ресурсы от ЦБ РФ под гарант</w:t>
      </w:r>
      <w:proofErr w:type="gramStart"/>
      <w:r w:rsidRPr="000F584D">
        <w:rPr>
          <w:rFonts w:cs="Times New Roman"/>
          <w:sz w:val="26"/>
          <w:szCs w:val="26"/>
        </w:rPr>
        <w:t>ии АО</w:t>
      </w:r>
      <w:proofErr w:type="gramEnd"/>
      <w:r w:rsidRPr="000F584D">
        <w:rPr>
          <w:rFonts w:cs="Times New Roman"/>
          <w:sz w:val="26"/>
          <w:szCs w:val="26"/>
        </w:rPr>
        <w:t xml:space="preserve"> «Корпорация МСП» по ставке 6,5% годовых для предоставления инвестиционных кредитов субъектам МСП. На текущий момент Корпорацией отобрано 12 банков-участников (список одобрен Минэкономразвития и Советом Директоров Корпорации МСП). </w:t>
      </w:r>
    </w:p>
    <w:p w:rsidR="0007206C" w:rsidRPr="0007206C" w:rsidRDefault="0007206C" w:rsidP="0007206C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07206C">
        <w:rPr>
          <w:rFonts w:cs="Times New Roman"/>
          <w:b/>
          <w:sz w:val="26"/>
          <w:szCs w:val="26"/>
        </w:rPr>
        <w:t>Ответ ЦБ РФ:</w:t>
      </w:r>
    </w:p>
    <w:p w:rsidR="0007206C" w:rsidRPr="0007206C" w:rsidRDefault="0007206C" w:rsidP="0007206C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07206C">
        <w:rPr>
          <w:rFonts w:eastAsia="Times New Roman" w:cs="Times New Roman"/>
          <w:sz w:val="26"/>
          <w:szCs w:val="26"/>
        </w:rPr>
        <w:t>Участниками механизма предоставления кредитов Банка России, обеспеченных поручительствами АО «Корпорация «МСП», являются кредитные организации - участники Программы стимулирования кредитования субъектов малого и среднего предпринимательства, реализуемой АО «Корпорация «МСП». В связи с этим вопрос о расширении состава кредитных организаций - участников данной Программы должен в первую очередь решаться АО «Корпорация «МСП».</w:t>
      </w:r>
    </w:p>
    <w:p w:rsidR="0007206C" w:rsidRDefault="0007206C" w:rsidP="00D8692F">
      <w:pPr>
        <w:tabs>
          <w:tab w:val="left" w:pos="851"/>
          <w:tab w:val="left" w:pos="993"/>
        </w:tabs>
        <w:spacing w:after="0"/>
        <w:ind w:left="567" w:firstLine="0"/>
        <w:rPr>
          <w:rFonts w:cs="Times New Roman"/>
          <w:sz w:val="26"/>
          <w:szCs w:val="26"/>
        </w:rPr>
      </w:pPr>
    </w:p>
    <w:p w:rsidR="00ED049D" w:rsidRDefault="00D8692F" w:rsidP="00D8692F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рамках программы рефинансирования под залог активов</w:t>
      </w:r>
      <w:r w:rsidR="008D7E87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каковы критерии Банка России для отбора в залог (отказа в принятии в залог) портфелей кредитов, выданных банками-партнерами АО «МСП Банк» и направленных АО «МСП Банк» в качестве обеспечения кредитов Банка России? </w:t>
      </w:r>
    </w:p>
    <w:p w:rsidR="00125F81" w:rsidRPr="00125F81" w:rsidRDefault="00125F81" w:rsidP="00125F81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125F81">
        <w:rPr>
          <w:rFonts w:cs="Times New Roman"/>
          <w:b/>
          <w:sz w:val="26"/>
          <w:szCs w:val="26"/>
        </w:rPr>
        <w:t>Ответ ЦБ РФ:</w:t>
      </w:r>
    </w:p>
    <w:p w:rsidR="00735F79" w:rsidRPr="00735F79" w:rsidRDefault="00735F79" w:rsidP="00735F79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proofErr w:type="gramStart"/>
      <w:r w:rsidRPr="00735F79">
        <w:rPr>
          <w:rFonts w:eastAsia="Times New Roman" w:cs="Times New Roman"/>
          <w:sz w:val="26"/>
          <w:szCs w:val="26"/>
        </w:rPr>
        <w:t>Банк России предоставляет АО «МСП Банк» возможность рефинансировать кредиты, предоставленные банкам-партнерам указанной кредитной организации на цели кредитования субъектов МСП, если указанные кредиты отнесены к 1 или 2 категории качества в соответствии с нормативным актом Банка России, определяющим порядок создания резервов на возможные потери по ссудам.</w:t>
      </w:r>
      <w:proofErr w:type="gramEnd"/>
    </w:p>
    <w:p w:rsidR="00735F79" w:rsidRPr="00735F79" w:rsidRDefault="00735F79" w:rsidP="00735F79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proofErr w:type="gramStart"/>
      <w:r w:rsidRPr="00735F79">
        <w:rPr>
          <w:rFonts w:eastAsia="Times New Roman" w:cs="Times New Roman"/>
          <w:sz w:val="26"/>
          <w:szCs w:val="26"/>
        </w:rPr>
        <w:t>При этом банки-заемщики по указанным кредитам должны соответствовать стандартным требованиям, предъявляемым к кредитным организациям - контрагентам Банка России: должны быть отнесены к 1 или 2 классификационной группе в соответствии с нормативным актом Банка России об оценке экономического положения банков, должны выполнять обязательные резервные требования и у них должны отсутствовать просроченные денежные обязательства перед Банком России.</w:t>
      </w:r>
      <w:proofErr w:type="gramEnd"/>
    </w:p>
    <w:p w:rsidR="00ED049D" w:rsidRDefault="00ED049D" w:rsidP="00D8692F">
      <w:pPr>
        <w:tabs>
          <w:tab w:val="left" w:pos="851"/>
          <w:tab w:val="left" w:pos="993"/>
        </w:tabs>
        <w:spacing w:after="0"/>
        <w:ind w:left="567" w:firstLine="0"/>
        <w:rPr>
          <w:rFonts w:cs="Times New Roman"/>
          <w:sz w:val="26"/>
          <w:szCs w:val="26"/>
        </w:rPr>
      </w:pPr>
    </w:p>
    <w:p w:rsidR="00125F81" w:rsidRDefault="00125F81" w:rsidP="00D8692F">
      <w:pPr>
        <w:tabs>
          <w:tab w:val="left" w:pos="851"/>
          <w:tab w:val="left" w:pos="993"/>
        </w:tabs>
        <w:spacing w:after="0"/>
        <w:ind w:left="567" w:firstLine="0"/>
        <w:rPr>
          <w:rFonts w:cs="Times New Roman"/>
          <w:sz w:val="26"/>
          <w:szCs w:val="26"/>
        </w:rPr>
      </w:pPr>
    </w:p>
    <w:p w:rsidR="00ED049D" w:rsidRDefault="00ED049D" w:rsidP="00ED049D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rPr>
          <w:sz w:val="26"/>
          <w:szCs w:val="26"/>
        </w:rPr>
      </w:pPr>
      <w:r w:rsidRPr="00EE18BC">
        <w:rPr>
          <w:rFonts w:cs="Times New Roman"/>
          <w:sz w:val="26"/>
          <w:szCs w:val="26"/>
        </w:rPr>
        <w:t>Планирует ли Банк России увелич</w:t>
      </w:r>
      <w:r>
        <w:rPr>
          <w:rFonts w:cs="Times New Roman"/>
          <w:sz w:val="26"/>
          <w:szCs w:val="26"/>
        </w:rPr>
        <w:t>ить</w:t>
      </w:r>
      <w:r w:rsidRPr="00EE18BC">
        <w:rPr>
          <w:rFonts w:cs="Times New Roman"/>
          <w:sz w:val="26"/>
          <w:szCs w:val="26"/>
        </w:rPr>
        <w:t xml:space="preserve"> лимит на 20 млрд. руб. </w:t>
      </w:r>
      <w:r w:rsidRPr="00EE18BC">
        <w:rPr>
          <w:sz w:val="26"/>
          <w:szCs w:val="26"/>
        </w:rPr>
        <w:t>по предо</w:t>
      </w:r>
      <w:r>
        <w:rPr>
          <w:sz w:val="26"/>
          <w:szCs w:val="26"/>
        </w:rPr>
        <w:t xml:space="preserve">ставлению фондирования АО «МСП Банк» по ставке 6,5% в целях расширения объемов поддержки субъектов малого и среднего бизнеса по программе АО «МСП Банк» и </w:t>
      </w:r>
      <w:r w:rsidRPr="000F584D">
        <w:rPr>
          <w:rFonts w:cs="Times New Roman"/>
          <w:sz w:val="26"/>
          <w:szCs w:val="26"/>
        </w:rPr>
        <w:t>АО «Корпорация МСП»</w:t>
      </w:r>
      <w:r>
        <w:rPr>
          <w:sz w:val="26"/>
          <w:szCs w:val="26"/>
        </w:rPr>
        <w:t>?</w:t>
      </w:r>
    </w:p>
    <w:p w:rsidR="00735F79" w:rsidRPr="00735F79" w:rsidRDefault="00735F79" w:rsidP="00735F79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735F79">
        <w:rPr>
          <w:rFonts w:cs="Times New Roman"/>
          <w:b/>
          <w:sz w:val="26"/>
          <w:szCs w:val="26"/>
        </w:rPr>
        <w:t>Ответ ЦБ РФ:</w:t>
      </w:r>
    </w:p>
    <w:p w:rsidR="00735F79" w:rsidRPr="00735F79" w:rsidRDefault="00735F79" w:rsidP="00735F79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735F79">
        <w:rPr>
          <w:rFonts w:eastAsia="Times New Roman" w:cs="Times New Roman"/>
          <w:sz w:val="26"/>
          <w:szCs w:val="26"/>
        </w:rPr>
        <w:t>По нашему мнению, данный вопрос может быть рассмотрен после исчерпания большей части или всего лимита, установленного в настоящее время по данному механизму рефинансирования.</w:t>
      </w:r>
    </w:p>
    <w:p w:rsidR="00735F79" w:rsidRPr="008D5CA8" w:rsidRDefault="00735F79" w:rsidP="008D5CA8">
      <w:pPr>
        <w:tabs>
          <w:tab w:val="left" w:pos="851"/>
          <w:tab w:val="left" w:pos="993"/>
        </w:tabs>
        <w:spacing w:after="0"/>
        <w:ind w:left="567" w:firstLine="0"/>
        <w:rPr>
          <w:rFonts w:cs="Times New Roman"/>
          <w:sz w:val="26"/>
          <w:szCs w:val="26"/>
        </w:rPr>
      </w:pPr>
    </w:p>
    <w:p w:rsidR="008D5CA8" w:rsidRDefault="008D5CA8" w:rsidP="008D5CA8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rPr>
          <w:rFonts w:cs="Times New Roman"/>
          <w:sz w:val="26"/>
          <w:szCs w:val="26"/>
        </w:rPr>
      </w:pPr>
      <w:proofErr w:type="gramStart"/>
      <w:r w:rsidRPr="008D5CA8">
        <w:rPr>
          <w:rFonts w:cs="Times New Roman"/>
          <w:sz w:val="26"/>
          <w:szCs w:val="26"/>
        </w:rPr>
        <w:t>П</w:t>
      </w:r>
      <w:r>
        <w:rPr>
          <w:rFonts w:cs="Times New Roman"/>
          <w:sz w:val="26"/>
          <w:szCs w:val="26"/>
        </w:rPr>
        <w:t xml:space="preserve">ланирует ли Банк России </w:t>
      </w:r>
      <w:r w:rsidRPr="008D5CA8">
        <w:rPr>
          <w:rFonts w:cs="Times New Roman"/>
          <w:sz w:val="26"/>
          <w:szCs w:val="26"/>
        </w:rPr>
        <w:t>внести изменения в Указание от 10.08.2012 № 2861-У «О перечне ценных бумаг, входящих в Ломбардный список Банка России» в части допуска в Ломбардный список Банка России облигаций, обеспеченных залогом прав (требований) по кредитам, предоставленным субъектам МСП, исполнение обязательств по которым обеспечено гарантией АО «Корпорация «МСП», Внешэкономбанк или АО «</w:t>
      </w:r>
      <w:r>
        <w:rPr>
          <w:rFonts w:cs="Times New Roman"/>
          <w:sz w:val="26"/>
          <w:szCs w:val="26"/>
        </w:rPr>
        <w:t>МСП Банк»?</w:t>
      </w:r>
      <w:proofErr w:type="gramEnd"/>
    </w:p>
    <w:p w:rsidR="00735F79" w:rsidRPr="00735F79" w:rsidRDefault="00735F79" w:rsidP="00735F79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735F79">
        <w:rPr>
          <w:rFonts w:cs="Times New Roman"/>
          <w:b/>
          <w:sz w:val="26"/>
          <w:szCs w:val="26"/>
        </w:rPr>
        <w:t>Ответ ЦБ РФ:</w:t>
      </w:r>
    </w:p>
    <w:p w:rsidR="00735F79" w:rsidRPr="00735F79" w:rsidRDefault="00735F79" w:rsidP="00735F79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735F79">
        <w:rPr>
          <w:rFonts w:eastAsia="Times New Roman" w:cs="Times New Roman"/>
          <w:sz w:val="26"/>
          <w:szCs w:val="26"/>
        </w:rPr>
        <w:t>Данный вопрос может быть рассмотрен после размещения на российском долговом рынке соответствующих ценных бумаг с учетом оценки финансовой возможности исполнения поручителем обязательств по предоставленным поручительствам, а также с учетом анализа условий размещения и обращения указанных ценных бумаг.</w:t>
      </w:r>
    </w:p>
    <w:p w:rsidR="00735F79" w:rsidRDefault="00735F79" w:rsidP="00735F79">
      <w:pPr>
        <w:tabs>
          <w:tab w:val="left" w:pos="851"/>
          <w:tab w:val="left" w:pos="993"/>
        </w:tabs>
        <w:spacing w:after="0"/>
        <w:rPr>
          <w:rFonts w:cs="Times New Roman"/>
          <w:sz w:val="26"/>
          <w:szCs w:val="26"/>
        </w:rPr>
      </w:pPr>
    </w:p>
    <w:p w:rsidR="000F584D" w:rsidRPr="000F584D" w:rsidRDefault="000F584D" w:rsidP="000F584D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  <w:r w:rsidRPr="000F584D">
        <w:rPr>
          <w:rFonts w:cs="Times New Roman"/>
          <w:sz w:val="26"/>
          <w:szCs w:val="26"/>
        </w:rPr>
        <w:t>Какие основные факторы, по мнению ЦБ РФ, максимально могут повлиять на курс рубля в 2016 году?</w:t>
      </w:r>
    </w:p>
    <w:p w:rsidR="0089398C" w:rsidRPr="0089398C" w:rsidRDefault="0089398C" w:rsidP="0089398C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89398C">
        <w:rPr>
          <w:rFonts w:cs="Times New Roman"/>
          <w:b/>
          <w:sz w:val="26"/>
          <w:szCs w:val="26"/>
        </w:rPr>
        <w:t>Ответ ЦБ РФ:</w:t>
      </w:r>
    </w:p>
    <w:p w:rsidR="0089398C" w:rsidRPr="0089398C" w:rsidRDefault="0089398C" w:rsidP="0089398C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89398C">
        <w:rPr>
          <w:rFonts w:eastAsia="Times New Roman" w:cs="Times New Roman"/>
          <w:sz w:val="26"/>
          <w:szCs w:val="26"/>
        </w:rPr>
        <w:t xml:space="preserve">В 2016 г. основное влияние на динамику курса рубля по-прежнему будут оказывать цены на нефть, </w:t>
      </w:r>
      <w:proofErr w:type="spellStart"/>
      <w:r w:rsidRPr="0089398C">
        <w:rPr>
          <w:rFonts w:eastAsia="Times New Roman" w:cs="Times New Roman"/>
          <w:sz w:val="26"/>
          <w:szCs w:val="26"/>
        </w:rPr>
        <w:t>волатильность</w:t>
      </w:r>
      <w:proofErr w:type="spellEnd"/>
      <w:r w:rsidRPr="0089398C">
        <w:rPr>
          <w:rFonts w:eastAsia="Times New Roman" w:cs="Times New Roman"/>
          <w:sz w:val="26"/>
          <w:szCs w:val="26"/>
        </w:rPr>
        <w:t xml:space="preserve"> которых в последнее время значительно возросла. Несмотря на это, события последних месяцев показали определенную устойчивость курса к колебаниям нефтяных котировок: эластичность курса рубля по ценам на нефть даже в периоды их резкого снижения оставалась относительно устойчивой, что свидетельствует о постепенной адаптации экономических агентов к меняющимся внешним условиям и к режиму плавающего валютного курса.</w:t>
      </w:r>
    </w:p>
    <w:p w:rsidR="0089398C" w:rsidRPr="0089398C" w:rsidRDefault="0089398C" w:rsidP="0089398C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89398C">
        <w:rPr>
          <w:rFonts w:eastAsia="Times New Roman" w:cs="Times New Roman"/>
          <w:sz w:val="26"/>
          <w:szCs w:val="26"/>
        </w:rPr>
        <w:t>Значительное влияние на динамику курса будет оказывать и ситуация в экономике крупнейших стран мира: в первую очередь, дальнейшая траектория повышения ключевой ставки ФРС США и динамика экономического роста в Китае будут определять общие настроения на мировых финансовых рынках и, в частности, спрос международных инвесторов на рублевые активы.</w:t>
      </w:r>
    </w:p>
    <w:p w:rsidR="0089398C" w:rsidRPr="0089398C" w:rsidRDefault="0089398C" w:rsidP="0089398C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89398C">
        <w:rPr>
          <w:rFonts w:eastAsia="Times New Roman" w:cs="Times New Roman"/>
          <w:sz w:val="26"/>
          <w:szCs w:val="26"/>
        </w:rPr>
        <w:t>При этом поддержку рублю в 2016 г. может оказать более низкий спрос на иностранную валюту со стороны российских банков и компаний, связанный с погашением и обслуживанием внешнего долга - объем платежей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89398C">
        <w:rPr>
          <w:rFonts w:eastAsia="Times New Roman" w:cs="Times New Roman"/>
          <w:sz w:val="26"/>
          <w:szCs w:val="26"/>
        </w:rPr>
        <w:t>по нему в 2016 г. ниже, чем в 2015 году. В этих условиях чистые поступления</w:t>
      </w:r>
      <w:r>
        <w:rPr>
          <w:rFonts w:eastAsia="Times New Roman" w:cs="Times New Roman"/>
          <w:sz w:val="26"/>
          <w:szCs w:val="26"/>
        </w:rPr>
        <w:t xml:space="preserve"> </w:t>
      </w:r>
      <w:r w:rsidRPr="0089398C">
        <w:rPr>
          <w:rFonts w:eastAsia="Times New Roman" w:cs="Times New Roman"/>
          <w:sz w:val="26"/>
          <w:szCs w:val="26"/>
        </w:rPr>
        <w:t xml:space="preserve">по текущему счету </w:t>
      </w:r>
      <w:r w:rsidRPr="0089398C">
        <w:rPr>
          <w:rFonts w:eastAsia="Times New Roman" w:cs="Times New Roman"/>
          <w:sz w:val="26"/>
          <w:szCs w:val="26"/>
        </w:rPr>
        <w:lastRenderedPageBreak/>
        <w:t>платежного баланса в совокупности с накопленными валютными активами российских банков и компаний позволят им продолжить бесперебойно осуществлять платежи без предъявления дополнительного спроса на иностранную валюту на внутреннем рынке.</w:t>
      </w:r>
    </w:p>
    <w:p w:rsidR="0089398C" w:rsidRPr="0089398C" w:rsidRDefault="0089398C" w:rsidP="0089398C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89398C">
        <w:rPr>
          <w:rFonts w:eastAsia="Times New Roman" w:cs="Times New Roman"/>
          <w:sz w:val="26"/>
          <w:szCs w:val="26"/>
        </w:rPr>
        <w:t>По оценкам Банка России, в настоящее время курс рубля находится вблизи своих фундаментально обоснованных значений.</w:t>
      </w:r>
    </w:p>
    <w:p w:rsidR="0089398C" w:rsidRDefault="0089398C" w:rsidP="000F584D">
      <w:p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</w:p>
    <w:p w:rsidR="000F584D" w:rsidRDefault="000F584D" w:rsidP="000F584D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cs="Times New Roman"/>
          <w:sz w:val="26"/>
          <w:szCs w:val="26"/>
        </w:rPr>
      </w:pPr>
      <w:r w:rsidRPr="000F584D">
        <w:rPr>
          <w:rFonts w:cs="Times New Roman"/>
          <w:sz w:val="26"/>
          <w:szCs w:val="26"/>
        </w:rPr>
        <w:t>Планирует ли ЦБ РФ разрабатывать новые инструменты влияния на курс рубля, либо менять их структуру?</w:t>
      </w:r>
    </w:p>
    <w:p w:rsidR="00865775" w:rsidRPr="00865775" w:rsidRDefault="00865775" w:rsidP="00865775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865775">
        <w:rPr>
          <w:rFonts w:cs="Times New Roman"/>
          <w:b/>
          <w:sz w:val="26"/>
          <w:szCs w:val="26"/>
        </w:rPr>
        <w:t>Ответ ЦБ РФ:</w:t>
      </w:r>
    </w:p>
    <w:p w:rsidR="00865775" w:rsidRPr="00865775" w:rsidRDefault="00865775" w:rsidP="00865775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865775">
        <w:rPr>
          <w:rFonts w:eastAsia="Times New Roman" w:cs="Times New Roman"/>
          <w:sz w:val="26"/>
          <w:szCs w:val="26"/>
        </w:rPr>
        <w:t>В настоящее время в России действует режим плавающего валютного курса. Это означает, что курс иностранной валюты к рублю определяется соотношением спроса на иностранную валюту и ее предложения на валютном рынке, и Банк России в нормальных условиях не совершает валютных интервенций с целью повлиять на динамику курса рубля.</w:t>
      </w:r>
    </w:p>
    <w:p w:rsidR="00865775" w:rsidRPr="00865775" w:rsidRDefault="00865775" w:rsidP="00865775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865775">
        <w:rPr>
          <w:rFonts w:eastAsia="Times New Roman" w:cs="Times New Roman"/>
          <w:sz w:val="26"/>
          <w:szCs w:val="26"/>
        </w:rPr>
        <w:t>Вместе с тем Банк России может проводить операции с иностранной валютой в случае возникновения рисков для финансовой стабильности, а также в целях пополнения международных резервов.</w:t>
      </w:r>
    </w:p>
    <w:p w:rsidR="00865775" w:rsidRPr="00865775" w:rsidRDefault="00865775" w:rsidP="00865775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865775">
        <w:rPr>
          <w:rFonts w:eastAsia="Times New Roman" w:cs="Times New Roman"/>
          <w:sz w:val="26"/>
          <w:szCs w:val="26"/>
        </w:rPr>
        <w:t>Операции Банка России по предоставлению кредитным организациям валютной ликвидности на возвратной основе, которые были введены для поддержания стабильности внутреннего валютного рынка в 2014 году, не направлены на оказание влияния на курс рубля.</w:t>
      </w:r>
    </w:p>
    <w:p w:rsidR="00EE18BC" w:rsidRPr="00865775" w:rsidRDefault="00865775" w:rsidP="00865775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865775">
        <w:rPr>
          <w:rFonts w:eastAsia="Times New Roman" w:cs="Times New Roman"/>
          <w:sz w:val="26"/>
          <w:szCs w:val="26"/>
        </w:rPr>
        <w:t>В целом, по мнению Банка России, применяемый им набор инструментов с иностранной валютой является достаточным для достижения обозначенных целей. Поэтому вопрос о разработке новых видов операций с иностранной валютой в настоящее время не рассматривается.</w:t>
      </w:r>
    </w:p>
    <w:p w:rsidR="00865775" w:rsidRDefault="00865775" w:rsidP="00B473B1">
      <w:pPr>
        <w:tabs>
          <w:tab w:val="left" w:pos="851"/>
        </w:tabs>
        <w:spacing w:after="0"/>
        <w:ind w:left="567" w:firstLine="0"/>
        <w:rPr>
          <w:rFonts w:cs="Times New Roman"/>
          <w:sz w:val="26"/>
          <w:szCs w:val="26"/>
        </w:rPr>
      </w:pPr>
    </w:p>
    <w:p w:rsidR="00B473B1" w:rsidRPr="00B473B1" w:rsidRDefault="00B473B1" w:rsidP="00B473B1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eastAsia="Calibri" w:cs="Times New Roman"/>
          <w:sz w:val="26"/>
          <w:szCs w:val="26"/>
        </w:rPr>
      </w:pPr>
      <w:r w:rsidRPr="00B473B1">
        <w:rPr>
          <w:rFonts w:cs="Times New Roman"/>
          <w:sz w:val="26"/>
          <w:szCs w:val="26"/>
        </w:rPr>
        <w:t xml:space="preserve">Планирует ли ЦБ РФ </w:t>
      </w:r>
      <w:r w:rsidRPr="00B473B1">
        <w:rPr>
          <w:rFonts w:eastAsia="Calibri" w:cs="Times New Roman"/>
          <w:sz w:val="26"/>
          <w:szCs w:val="26"/>
        </w:rPr>
        <w:t>заключать с кредитными организациями соглашения, в соответствии с которыми Банк России обязуется компенсировать таким кредитным организациям часть убытков (расходов), возникших у них по сделкам с другими кредитными организациями, у которых была отозвана лицензия на осуществление банковских операций</w:t>
      </w:r>
      <w:r>
        <w:rPr>
          <w:rFonts w:cs="Times New Roman"/>
          <w:sz w:val="26"/>
          <w:szCs w:val="26"/>
        </w:rPr>
        <w:t>?</w:t>
      </w:r>
    </w:p>
    <w:p w:rsidR="001252E6" w:rsidRPr="001252E6" w:rsidRDefault="001252E6" w:rsidP="001252E6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1252E6">
        <w:rPr>
          <w:rFonts w:cs="Times New Roman"/>
          <w:b/>
          <w:sz w:val="26"/>
          <w:szCs w:val="26"/>
        </w:rPr>
        <w:t>Ответ ЦБ РФ:</w:t>
      </w:r>
    </w:p>
    <w:p w:rsidR="001252E6" w:rsidRPr="001252E6" w:rsidRDefault="001252E6" w:rsidP="001252E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252E6">
        <w:rPr>
          <w:rFonts w:eastAsia="Times New Roman" w:cs="Times New Roman"/>
          <w:sz w:val="26"/>
          <w:szCs w:val="26"/>
        </w:rPr>
        <w:t xml:space="preserve">В соответствии со статьей второй Федерального закона от 29 июня 2015 г. № 167-ФЗ «О внесении изменений в отдельные законодательные акты Российской Федерации» в Федеральный закон «О Центральном банке Российской Федерации (Банке России)» </w:t>
      </w:r>
      <w:proofErr w:type="gramStart"/>
      <w:r w:rsidRPr="001252E6">
        <w:rPr>
          <w:rFonts w:eastAsia="Times New Roman" w:cs="Times New Roman"/>
          <w:sz w:val="26"/>
          <w:szCs w:val="26"/>
        </w:rPr>
        <w:t>внесены изменения, предусматривающие право Банка России в целях предупреждения возникновения ситуаций, угрожающих финансовой стабильности Российской Федерации заключать с кредитными организациями соглашения, в соответствии с которыми Банк России обязуется</w:t>
      </w:r>
      <w:proofErr w:type="gramEnd"/>
      <w:r w:rsidRPr="001252E6">
        <w:rPr>
          <w:rFonts w:eastAsia="Times New Roman" w:cs="Times New Roman"/>
          <w:sz w:val="26"/>
          <w:szCs w:val="26"/>
        </w:rPr>
        <w:t xml:space="preserve"> компенсировать таким кредитным организациям часть убытков (расходов), возникших у них по </w:t>
      </w:r>
      <w:r w:rsidRPr="001252E6">
        <w:rPr>
          <w:rFonts w:eastAsia="Times New Roman" w:cs="Times New Roman"/>
          <w:sz w:val="26"/>
          <w:szCs w:val="26"/>
        </w:rPr>
        <w:lastRenderedPageBreak/>
        <w:t>сделкам с другими кредитными организациями, у которых была отозвана лицензия на осуществление банковских операций.</w:t>
      </w:r>
    </w:p>
    <w:p w:rsidR="001252E6" w:rsidRPr="001252E6" w:rsidRDefault="001252E6" w:rsidP="001252E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252E6">
        <w:rPr>
          <w:rFonts w:eastAsia="Times New Roman" w:cs="Times New Roman"/>
          <w:sz w:val="26"/>
          <w:szCs w:val="26"/>
        </w:rPr>
        <w:t>Банком России подготовлены все необходимые документы по обеспечению функционирования механизма компенсируемых сделок и осуществляется мониторинг ситуации на межбанковском рынке, по результатам которого, в случае наличия факторов, свидетельствующих о целесообразности применения механизма компенсируемых сделок, данный вопрос по рекомендации Комитета финансовой стабильности Банка России будет вынесен на Совет директоров Банка России.</w:t>
      </w:r>
    </w:p>
    <w:p w:rsidR="001252E6" w:rsidRDefault="001252E6" w:rsidP="00EE18BC">
      <w:pPr>
        <w:pStyle w:val="a3"/>
        <w:rPr>
          <w:sz w:val="26"/>
          <w:szCs w:val="26"/>
        </w:rPr>
      </w:pPr>
    </w:p>
    <w:p w:rsidR="000704E8" w:rsidRPr="000F584D" w:rsidRDefault="000704E8" w:rsidP="000F584D">
      <w:pPr>
        <w:tabs>
          <w:tab w:val="left" w:pos="851"/>
          <w:tab w:val="left" w:pos="993"/>
        </w:tabs>
        <w:spacing w:after="0"/>
        <w:ind w:left="0" w:firstLine="567"/>
        <w:jc w:val="center"/>
        <w:rPr>
          <w:rFonts w:cs="Times New Roman"/>
          <w:i/>
          <w:sz w:val="26"/>
          <w:szCs w:val="26"/>
          <w:u w:val="single"/>
        </w:rPr>
      </w:pPr>
      <w:r w:rsidRPr="000F584D">
        <w:rPr>
          <w:rFonts w:cs="Times New Roman"/>
          <w:i/>
          <w:sz w:val="26"/>
          <w:szCs w:val="26"/>
          <w:u w:val="single"/>
        </w:rPr>
        <w:t>Блок «Предложения».</w:t>
      </w:r>
    </w:p>
    <w:p w:rsidR="000F584D" w:rsidRPr="000F584D" w:rsidRDefault="000F584D" w:rsidP="000F584D">
      <w:pPr>
        <w:tabs>
          <w:tab w:val="left" w:pos="851"/>
          <w:tab w:val="left" w:pos="993"/>
        </w:tabs>
        <w:spacing w:after="0"/>
        <w:ind w:left="0" w:firstLine="567"/>
        <w:jc w:val="center"/>
        <w:rPr>
          <w:rFonts w:cs="Times New Roman"/>
          <w:i/>
          <w:sz w:val="26"/>
          <w:szCs w:val="26"/>
          <w:u w:val="single"/>
        </w:rPr>
      </w:pPr>
    </w:p>
    <w:p w:rsidR="000F584D" w:rsidRPr="000F584D" w:rsidRDefault="000F584D" w:rsidP="000F584D">
      <w:pPr>
        <w:tabs>
          <w:tab w:val="left" w:pos="851"/>
        </w:tabs>
        <w:spacing w:after="0"/>
        <w:ind w:left="0" w:firstLine="567"/>
        <w:rPr>
          <w:rFonts w:eastAsia="Calibri" w:cs="Times New Roman"/>
          <w:sz w:val="26"/>
          <w:szCs w:val="26"/>
        </w:rPr>
      </w:pPr>
      <w:bookmarkStart w:id="0" w:name="_GoBack"/>
      <w:bookmarkEnd w:id="0"/>
      <w:r w:rsidRPr="000F584D">
        <w:rPr>
          <w:rFonts w:cs="Times New Roman"/>
          <w:sz w:val="26"/>
          <w:szCs w:val="26"/>
        </w:rPr>
        <w:t xml:space="preserve">1. </w:t>
      </w:r>
      <w:r w:rsidRPr="000F584D">
        <w:rPr>
          <w:rFonts w:eastAsia="Calibri" w:cs="Times New Roman"/>
          <w:sz w:val="26"/>
          <w:szCs w:val="26"/>
        </w:rPr>
        <w:t>В целях достижения более гиб</w:t>
      </w:r>
      <w:r w:rsidRPr="000F584D">
        <w:rPr>
          <w:rFonts w:cs="Times New Roman"/>
          <w:sz w:val="26"/>
          <w:szCs w:val="26"/>
        </w:rPr>
        <w:t>кого ценообразования стоимости</w:t>
      </w:r>
      <w:r w:rsidRPr="000F584D">
        <w:rPr>
          <w:rFonts w:eastAsia="Calibri" w:cs="Times New Roman"/>
          <w:sz w:val="26"/>
          <w:szCs w:val="26"/>
        </w:rPr>
        <w:t xml:space="preserve"> фондирования предлагаем более детально продифференцир</w:t>
      </w:r>
      <w:r w:rsidRPr="000F584D">
        <w:rPr>
          <w:rFonts w:cs="Times New Roman"/>
          <w:sz w:val="26"/>
          <w:szCs w:val="26"/>
        </w:rPr>
        <w:t xml:space="preserve">овать размеры процентных ставок по кредитам </w:t>
      </w:r>
      <w:r w:rsidRPr="000F584D">
        <w:rPr>
          <w:rFonts w:eastAsia="Calibri" w:cs="Times New Roman"/>
          <w:sz w:val="26"/>
          <w:szCs w:val="26"/>
        </w:rPr>
        <w:t xml:space="preserve">Банка России, обеспеченных нерыночными активами или поручительствами (Положение 312-П) в зависимости  от срока привлечения. </w:t>
      </w:r>
    </w:p>
    <w:p w:rsidR="001252E6" w:rsidRPr="001252E6" w:rsidRDefault="001252E6" w:rsidP="001252E6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1252E6">
        <w:rPr>
          <w:rFonts w:cs="Times New Roman"/>
          <w:b/>
          <w:sz w:val="26"/>
          <w:szCs w:val="26"/>
        </w:rPr>
        <w:t>Ответ ЦБ РФ:</w:t>
      </w:r>
    </w:p>
    <w:p w:rsidR="001252E6" w:rsidRPr="001252E6" w:rsidRDefault="001252E6" w:rsidP="001252E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252E6">
        <w:rPr>
          <w:rFonts w:eastAsia="Times New Roman" w:cs="Times New Roman"/>
          <w:sz w:val="26"/>
          <w:szCs w:val="26"/>
        </w:rPr>
        <w:t>Ставки по кредитам, обеспеченным нерыночными активами или поручительствами, устанавливаются Банком России исходя из минимизации вмешательства в рыночное ценообразование на соответствующие сроки. Это означает, что Банк России воздерживается от установления временных премий на эти сроки для того, чтобы они определялись самим рынком.</w:t>
      </w:r>
    </w:p>
    <w:p w:rsidR="000F584D" w:rsidRDefault="001252E6" w:rsidP="001252E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252E6">
        <w:rPr>
          <w:rFonts w:eastAsia="Times New Roman" w:cs="Times New Roman"/>
          <w:sz w:val="26"/>
          <w:szCs w:val="26"/>
        </w:rPr>
        <w:t xml:space="preserve">Предоставление Банком России кредитным организациям указанных кредитов направлено на удовлетворение их потребностей в ликвидности с учетом имеющегося у них обеспечения. При этом индикатором направленности денежно-кредитной политики, который служит основой для формирования рыночных ставок, является процентная ставка по основным инструментам по предоставлению и </w:t>
      </w:r>
      <w:proofErr w:type="spellStart"/>
      <w:r w:rsidRPr="001252E6">
        <w:rPr>
          <w:rFonts w:eastAsia="Times New Roman" w:cs="Times New Roman"/>
          <w:sz w:val="26"/>
          <w:szCs w:val="26"/>
        </w:rPr>
        <w:t>абсорбированию</w:t>
      </w:r>
      <w:proofErr w:type="spellEnd"/>
      <w:r w:rsidRPr="001252E6">
        <w:rPr>
          <w:rFonts w:eastAsia="Times New Roman" w:cs="Times New Roman"/>
          <w:sz w:val="26"/>
          <w:szCs w:val="26"/>
        </w:rPr>
        <w:t xml:space="preserve"> ликвидности (на срок 1 неделя) - ключевая ставка.</w:t>
      </w:r>
    </w:p>
    <w:p w:rsidR="001252E6" w:rsidRPr="001252E6" w:rsidRDefault="001252E6" w:rsidP="001252E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</w:p>
    <w:p w:rsidR="000F584D" w:rsidRPr="000F584D" w:rsidRDefault="000F584D" w:rsidP="000F584D">
      <w:pPr>
        <w:tabs>
          <w:tab w:val="left" w:pos="851"/>
        </w:tabs>
        <w:spacing w:after="0"/>
        <w:ind w:left="0" w:firstLine="567"/>
        <w:rPr>
          <w:rFonts w:eastAsia="Calibri" w:cs="Times New Roman"/>
          <w:sz w:val="26"/>
          <w:szCs w:val="26"/>
        </w:rPr>
      </w:pPr>
      <w:r w:rsidRPr="000F584D">
        <w:rPr>
          <w:rFonts w:cs="Times New Roman"/>
          <w:sz w:val="26"/>
          <w:szCs w:val="26"/>
        </w:rPr>
        <w:t xml:space="preserve">2. </w:t>
      </w:r>
      <w:r w:rsidRPr="000F584D">
        <w:rPr>
          <w:rFonts w:eastAsia="Calibri" w:cs="Times New Roman"/>
          <w:sz w:val="26"/>
          <w:szCs w:val="26"/>
        </w:rPr>
        <w:t>В настоящее время Банк России проводит операции по привлечению денежных сре</w:t>
      </w:r>
      <w:proofErr w:type="gramStart"/>
      <w:r w:rsidRPr="000F584D">
        <w:rPr>
          <w:rFonts w:eastAsia="Calibri" w:cs="Times New Roman"/>
          <w:sz w:val="26"/>
          <w:szCs w:val="26"/>
        </w:rPr>
        <w:t>дств кр</w:t>
      </w:r>
      <w:proofErr w:type="gramEnd"/>
      <w:r w:rsidRPr="000F584D">
        <w:rPr>
          <w:rFonts w:eastAsia="Calibri" w:cs="Times New Roman"/>
          <w:sz w:val="26"/>
          <w:szCs w:val="26"/>
        </w:rPr>
        <w:t>едитных организаций в депозиты, открываемые в Банке России, по фиксированным процентным ставкам  сроком на один день на условиях  «</w:t>
      </w:r>
      <w:proofErr w:type="spellStart"/>
      <w:r w:rsidRPr="000F584D">
        <w:rPr>
          <w:rFonts w:eastAsia="Calibri" w:cs="Times New Roman"/>
          <w:sz w:val="26"/>
          <w:szCs w:val="26"/>
        </w:rPr>
        <w:t>овернайт</w:t>
      </w:r>
      <w:proofErr w:type="spellEnd"/>
      <w:r w:rsidRPr="000F584D">
        <w:rPr>
          <w:rFonts w:eastAsia="Calibri" w:cs="Times New Roman"/>
          <w:sz w:val="26"/>
          <w:szCs w:val="26"/>
        </w:rPr>
        <w:t>", "</w:t>
      </w:r>
      <w:proofErr w:type="spellStart"/>
      <w:r w:rsidRPr="000F584D">
        <w:rPr>
          <w:rFonts w:eastAsia="Calibri" w:cs="Times New Roman"/>
          <w:sz w:val="26"/>
          <w:szCs w:val="26"/>
        </w:rPr>
        <w:t>том-некст</w:t>
      </w:r>
      <w:proofErr w:type="spellEnd"/>
      <w:r w:rsidRPr="000F584D">
        <w:rPr>
          <w:rFonts w:eastAsia="Calibri" w:cs="Times New Roman"/>
          <w:sz w:val="26"/>
          <w:szCs w:val="26"/>
        </w:rPr>
        <w:t>", "</w:t>
      </w:r>
      <w:proofErr w:type="spellStart"/>
      <w:r w:rsidRPr="000F584D">
        <w:rPr>
          <w:rFonts w:eastAsia="Calibri" w:cs="Times New Roman"/>
          <w:sz w:val="26"/>
          <w:szCs w:val="26"/>
        </w:rPr>
        <w:t>спот-некст</w:t>
      </w:r>
      <w:proofErr w:type="spellEnd"/>
      <w:r w:rsidRPr="000F584D">
        <w:rPr>
          <w:rFonts w:eastAsia="Calibri" w:cs="Times New Roman"/>
          <w:sz w:val="26"/>
          <w:szCs w:val="26"/>
        </w:rPr>
        <w:t xml:space="preserve">", либо "До востребования”. Предлагаем возобновить практику проведения депозитных операций по фиксированным процентным ставкам на срок более 1-го дня, например на срок  1 неделя, 1 месяц и т.д., а также возобновить операции по проведению депозитных аукционов. </w:t>
      </w:r>
    </w:p>
    <w:p w:rsidR="001252E6" w:rsidRPr="001252E6" w:rsidRDefault="001252E6" w:rsidP="001252E6">
      <w:pPr>
        <w:tabs>
          <w:tab w:val="left" w:pos="851"/>
        </w:tabs>
        <w:spacing w:after="0"/>
        <w:ind w:left="0" w:firstLine="0"/>
        <w:rPr>
          <w:rFonts w:cs="Times New Roman"/>
          <w:b/>
          <w:sz w:val="26"/>
          <w:szCs w:val="26"/>
        </w:rPr>
      </w:pPr>
      <w:r w:rsidRPr="001252E6">
        <w:rPr>
          <w:rFonts w:cs="Times New Roman"/>
          <w:b/>
          <w:sz w:val="26"/>
          <w:szCs w:val="26"/>
        </w:rPr>
        <w:t>Ответ ЦБ РФ:</w:t>
      </w:r>
    </w:p>
    <w:p w:rsidR="001252E6" w:rsidRPr="001252E6" w:rsidRDefault="001252E6" w:rsidP="001252E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252E6">
        <w:rPr>
          <w:rFonts w:eastAsia="Times New Roman" w:cs="Times New Roman"/>
          <w:sz w:val="26"/>
          <w:szCs w:val="26"/>
        </w:rPr>
        <w:t xml:space="preserve">Система инструментов денежно-кредитной политики Банка России сформирована, и введения новых операций в настоящее время не предполагается. Банк России располагает необходимым набором инструментов, чтобы регулировать объем совокупных банковских резервов и управлять ставкой </w:t>
      </w:r>
      <w:r w:rsidRPr="001252E6">
        <w:rPr>
          <w:rFonts w:eastAsia="Times New Roman" w:cs="Times New Roman"/>
          <w:sz w:val="26"/>
          <w:szCs w:val="26"/>
        </w:rPr>
        <w:lastRenderedPageBreak/>
        <w:t xml:space="preserve">сегмента </w:t>
      </w:r>
      <w:proofErr w:type="spellStart"/>
      <w:r w:rsidRPr="001252E6">
        <w:rPr>
          <w:rFonts w:eastAsia="Times New Roman" w:cs="Times New Roman"/>
          <w:sz w:val="26"/>
          <w:szCs w:val="26"/>
        </w:rPr>
        <w:t>овернайт</w:t>
      </w:r>
      <w:proofErr w:type="spellEnd"/>
      <w:r w:rsidRPr="001252E6">
        <w:rPr>
          <w:rFonts w:eastAsia="Times New Roman" w:cs="Times New Roman"/>
          <w:sz w:val="26"/>
          <w:szCs w:val="26"/>
        </w:rPr>
        <w:t xml:space="preserve"> денежного рынка. В его распоряжении есть как операции по предоставлению необходимой ликвидности кредитным организациям, так и по </w:t>
      </w:r>
      <w:proofErr w:type="spellStart"/>
      <w:r w:rsidRPr="001252E6">
        <w:rPr>
          <w:rFonts w:eastAsia="Times New Roman" w:cs="Times New Roman"/>
          <w:sz w:val="26"/>
          <w:szCs w:val="26"/>
        </w:rPr>
        <w:t>абсорбированию</w:t>
      </w:r>
      <w:proofErr w:type="spellEnd"/>
      <w:r w:rsidRPr="001252E6">
        <w:rPr>
          <w:rFonts w:eastAsia="Times New Roman" w:cs="Times New Roman"/>
          <w:sz w:val="26"/>
          <w:szCs w:val="26"/>
        </w:rPr>
        <w:t xml:space="preserve"> избыточной ликвидности, как инструменты открытого рынка (аукционы), так и постоянного действия.</w:t>
      </w:r>
    </w:p>
    <w:p w:rsidR="001252E6" w:rsidRPr="001252E6" w:rsidRDefault="001252E6" w:rsidP="001252E6">
      <w:pPr>
        <w:shd w:val="clear" w:color="auto" w:fill="FFFFFF"/>
        <w:spacing w:after="0"/>
        <w:ind w:left="10" w:firstLine="696"/>
        <w:rPr>
          <w:rFonts w:eastAsia="Times New Roman" w:cs="Times New Roman"/>
          <w:sz w:val="26"/>
          <w:szCs w:val="26"/>
        </w:rPr>
      </w:pPr>
      <w:r w:rsidRPr="001252E6">
        <w:rPr>
          <w:rFonts w:eastAsia="Times New Roman" w:cs="Times New Roman"/>
          <w:sz w:val="26"/>
          <w:szCs w:val="26"/>
        </w:rPr>
        <w:t>В текущих условиях структурного дефицита ликвидности Банк России</w:t>
      </w:r>
      <w:r>
        <w:rPr>
          <w:rFonts w:eastAsia="Times New Roman" w:cs="Times New Roman"/>
          <w:sz w:val="26"/>
          <w:szCs w:val="26"/>
        </w:rPr>
        <w:t xml:space="preserve"> </w:t>
      </w:r>
      <w:r w:rsidRPr="001252E6">
        <w:rPr>
          <w:rFonts w:eastAsia="Times New Roman" w:cs="Times New Roman"/>
          <w:sz w:val="26"/>
          <w:szCs w:val="26"/>
        </w:rPr>
        <w:t xml:space="preserve">проводит регулярные аукционы </w:t>
      </w:r>
      <w:proofErr w:type="spellStart"/>
      <w:r w:rsidRPr="001252E6">
        <w:rPr>
          <w:rFonts w:eastAsia="Times New Roman" w:cs="Times New Roman"/>
          <w:sz w:val="26"/>
          <w:szCs w:val="26"/>
        </w:rPr>
        <w:t>репо</w:t>
      </w:r>
      <w:proofErr w:type="spellEnd"/>
      <w:r w:rsidRPr="001252E6">
        <w:rPr>
          <w:rFonts w:eastAsia="Times New Roman" w:cs="Times New Roman"/>
          <w:sz w:val="26"/>
          <w:szCs w:val="26"/>
        </w:rPr>
        <w:t xml:space="preserve"> по предоставлению денежных средств</w:t>
      </w:r>
      <w:r>
        <w:rPr>
          <w:rFonts w:eastAsia="Times New Roman" w:cs="Times New Roman"/>
          <w:sz w:val="26"/>
          <w:szCs w:val="26"/>
        </w:rPr>
        <w:t xml:space="preserve"> на срок 1 </w:t>
      </w:r>
      <w:r w:rsidRPr="001252E6">
        <w:rPr>
          <w:rFonts w:eastAsia="Times New Roman" w:cs="Times New Roman"/>
          <w:sz w:val="26"/>
          <w:szCs w:val="26"/>
        </w:rPr>
        <w:t>неделя, а также по мере необходимости - аукционы «тонкой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1252E6">
        <w:rPr>
          <w:rFonts w:eastAsia="Times New Roman" w:cs="Times New Roman"/>
          <w:sz w:val="26"/>
          <w:szCs w:val="26"/>
        </w:rPr>
        <w:t xml:space="preserve">настройки» (в зависимости от ситуации: по предоставлению - аукционы </w:t>
      </w:r>
      <w:proofErr w:type="spellStart"/>
      <w:r w:rsidRPr="001252E6">
        <w:rPr>
          <w:rFonts w:eastAsia="Times New Roman" w:cs="Times New Roman"/>
          <w:sz w:val="26"/>
          <w:szCs w:val="26"/>
        </w:rPr>
        <w:t>репо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r w:rsidRPr="001252E6">
        <w:rPr>
          <w:rFonts w:eastAsia="Times New Roman" w:cs="Times New Roman"/>
          <w:sz w:val="26"/>
          <w:szCs w:val="26"/>
        </w:rPr>
        <w:t xml:space="preserve">/ валютный своп или по </w:t>
      </w:r>
      <w:proofErr w:type="spellStart"/>
      <w:r w:rsidRPr="001252E6">
        <w:rPr>
          <w:rFonts w:eastAsia="Times New Roman" w:cs="Times New Roman"/>
          <w:sz w:val="26"/>
          <w:szCs w:val="26"/>
        </w:rPr>
        <w:t>абсорбированию</w:t>
      </w:r>
      <w:proofErr w:type="spellEnd"/>
      <w:r w:rsidRPr="001252E6">
        <w:rPr>
          <w:rFonts w:eastAsia="Times New Roman" w:cs="Times New Roman"/>
          <w:sz w:val="26"/>
          <w:szCs w:val="26"/>
        </w:rPr>
        <w:t xml:space="preserve"> - депозитные аукционы). Таким образом, депозитные аукционы на срок 1 неделя и депозитные аукционы «тонкой настройки» на срок от 1 до 6 дней являются действующими инструментами Банка России, применяемыми в условиях значительного превышения предложения ликвидности над спросом.</w:t>
      </w:r>
    </w:p>
    <w:sectPr w:rsidR="001252E6" w:rsidRPr="001252E6" w:rsidSect="00AF0F4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10" w:rsidRDefault="00D20310" w:rsidP="000704E8">
      <w:pPr>
        <w:spacing w:after="0" w:line="240" w:lineRule="auto"/>
      </w:pPr>
      <w:r>
        <w:separator/>
      </w:r>
    </w:p>
  </w:endnote>
  <w:endnote w:type="continuationSeparator" w:id="0">
    <w:p w:rsidR="00D20310" w:rsidRDefault="00D20310" w:rsidP="0007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2817"/>
      <w:docPartObj>
        <w:docPartGallery w:val="Page Numbers (Bottom of Page)"/>
        <w:docPartUnique/>
      </w:docPartObj>
    </w:sdtPr>
    <w:sdtContent>
      <w:p w:rsidR="00D20310" w:rsidRDefault="00C11B85">
        <w:pPr>
          <w:pStyle w:val="ab"/>
          <w:jc w:val="center"/>
        </w:pPr>
        <w:fldSimple w:instr=" PAGE   \* MERGEFORMAT ">
          <w:r w:rsidR="001252E6">
            <w:rPr>
              <w:noProof/>
            </w:rPr>
            <w:t>8</w:t>
          </w:r>
        </w:fldSimple>
      </w:p>
    </w:sdtContent>
  </w:sdt>
  <w:p w:rsidR="00D20310" w:rsidRDefault="00D203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10" w:rsidRDefault="00D20310" w:rsidP="000704E8">
      <w:pPr>
        <w:spacing w:after="0" w:line="240" w:lineRule="auto"/>
      </w:pPr>
      <w:r>
        <w:separator/>
      </w:r>
    </w:p>
  </w:footnote>
  <w:footnote w:type="continuationSeparator" w:id="0">
    <w:p w:rsidR="00D20310" w:rsidRDefault="00D20310" w:rsidP="0007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7E77"/>
    <w:multiLevelType w:val="hybridMultilevel"/>
    <w:tmpl w:val="D53844B4"/>
    <w:lvl w:ilvl="0" w:tplc="64E402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C66FE8"/>
    <w:multiLevelType w:val="hybridMultilevel"/>
    <w:tmpl w:val="DED4F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220937"/>
    <w:multiLevelType w:val="hybridMultilevel"/>
    <w:tmpl w:val="01DC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D754E"/>
    <w:multiLevelType w:val="hybridMultilevel"/>
    <w:tmpl w:val="2376AB4E"/>
    <w:lvl w:ilvl="0" w:tplc="64E4024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3946F4"/>
    <w:multiLevelType w:val="multilevel"/>
    <w:tmpl w:val="B806775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C040AA1"/>
    <w:multiLevelType w:val="hybridMultilevel"/>
    <w:tmpl w:val="DF542668"/>
    <w:lvl w:ilvl="0" w:tplc="8DC444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887702"/>
    <w:multiLevelType w:val="hybridMultilevel"/>
    <w:tmpl w:val="89B2F52E"/>
    <w:lvl w:ilvl="0" w:tplc="7D1E7D1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977BC7"/>
    <w:multiLevelType w:val="hybridMultilevel"/>
    <w:tmpl w:val="B0728F06"/>
    <w:lvl w:ilvl="0" w:tplc="64E4024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9E001E"/>
    <w:multiLevelType w:val="hybridMultilevel"/>
    <w:tmpl w:val="739C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4265A"/>
    <w:multiLevelType w:val="hybridMultilevel"/>
    <w:tmpl w:val="7BAC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B31CE"/>
    <w:multiLevelType w:val="hybridMultilevel"/>
    <w:tmpl w:val="F036C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5323E"/>
    <w:multiLevelType w:val="multilevel"/>
    <w:tmpl w:val="B806775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D465468"/>
    <w:multiLevelType w:val="hybridMultilevel"/>
    <w:tmpl w:val="F92821D2"/>
    <w:lvl w:ilvl="0" w:tplc="64E40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4E8"/>
    <w:rsid w:val="00053B82"/>
    <w:rsid w:val="00063691"/>
    <w:rsid w:val="000704E8"/>
    <w:rsid w:val="0007206C"/>
    <w:rsid w:val="000945BF"/>
    <w:rsid w:val="0009677C"/>
    <w:rsid w:val="000B0A91"/>
    <w:rsid w:val="000E4CB0"/>
    <w:rsid w:val="000E7E47"/>
    <w:rsid w:val="000F265E"/>
    <w:rsid w:val="000F584D"/>
    <w:rsid w:val="00105054"/>
    <w:rsid w:val="001226EA"/>
    <w:rsid w:val="001252E6"/>
    <w:rsid w:val="00125F81"/>
    <w:rsid w:val="0016564D"/>
    <w:rsid w:val="00174DB3"/>
    <w:rsid w:val="001945B7"/>
    <w:rsid w:val="00195C15"/>
    <w:rsid w:val="00197802"/>
    <w:rsid w:val="001B4DF0"/>
    <w:rsid w:val="001E619F"/>
    <w:rsid w:val="001F5EE5"/>
    <w:rsid w:val="00205084"/>
    <w:rsid w:val="00207B03"/>
    <w:rsid w:val="00241091"/>
    <w:rsid w:val="00272E39"/>
    <w:rsid w:val="00287F06"/>
    <w:rsid w:val="002B3F09"/>
    <w:rsid w:val="002B6043"/>
    <w:rsid w:val="002B78FE"/>
    <w:rsid w:val="002C3387"/>
    <w:rsid w:val="002E0D7C"/>
    <w:rsid w:val="002E7D99"/>
    <w:rsid w:val="002F3EBF"/>
    <w:rsid w:val="00335E61"/>
    <w:rsid w:val="0034044A"/>
    <w:rsid w:val="00386A0A"/>
    <w:rsid w:val="00390814"/>
    <w:rsid w:val="0039726B"/>
    <w:rsid w:val="003B09CF"/>
    <w:rsid w:val="003E1BF2"/>
    <w:rsid w:val="003F7866"/>
    <w:rsid w:val="004218C1"/>
    <w:rsid w:val="00426B28"/>
    <w:rsid w:val="00477335"/>
    <w:rsid w:val="004A0BAE"/>
    <w:rsid w:val="004F18CC"/>
    <w:rsid w:val="004F6E7A"/>
    <w:rsid w:val="005313E4"/>
    <w:rsid w:val="005411C0"/>
    <w:rsid w:val="00542670"/>
    <w:rsid w:val="00587FF2"/>
    <w:rsid w:val="005A1021"/>
    <w:rsid w:val="005A6085"/>
    <w:rsid w:val="005A6299"/>
    <w:rsid w:val="005B542F"/>
    <w:rsid w:val="005C4C64"/>
    <w:rsid w:val="005E0A26"/>
    <w:rsid w:val="005E7B45"/>
    <w:rsid w:val="005F45A6"/>
    <w:rsid w:val="0060039D"/>
    <w:rsid w:val="00606D5C"/>
    <w:rsid w:val="00626633"/>
    <w:rsid w:val="00632E12"/>
    <w:rsid w:val="0065022D"/>
    <w:rsid w:val="006C6454"/>
    <w:rsid w:val="006D742D"/>
    <w:rsid w:val="00735F5D"/>
    <w:rsid w:val="00735F79"/>
    <w:rsid w:val="00745AB4"/>
    <w:rsid w:val="0075726D"/>
    <w:rsid w:val="007577A8"/>
    <w:rsid w:val="007A14A4"/>
    <w:rsid w:val="007A2052"/>
    <w:rsid w:val="007A7A16"/>
    <w:rsid w:val="007B0DB4"/>
    <w:rsid w:val="007E3678"/>
    <w:rsid w:val="0081243B"/>
    <w:rsid w:val="008360A8"/>
    <w:rsid w:val="00845AD8"/>
    <w:rsid w:val="00865775"/>
    <w:rsid w:val="008675F5"/>
    <w:rsid w:val="0089398C"/>
    <w:rsid w:val="00893BBD"/>
    <w:rsid w:val="008C4B1F"/>
    <w:rsid w:val="008D0B9A"/>
    <w:rsid w:val="008D5CA8"/>
    <w:rsid w:val="008D7E87"/>
    <w:rsid w:val="008E2E77"/>
    <w:rsid w:val="008F6167"/>
    <w:rsid w:val="0091189B"/>
    <w:rsid w:val="00913DDE"/>
    <w:rsid w:val="009243AC"/>
    <w:rsid w:val="0093317F"/>
    <w:rsid w:val="00936DA4"/>
    <w:rsid w:val="009413A3"/>
    <w:rsid w:val="0096300B"/>
    <w:rsid w:val="009777F9"/>
    <w:rsid w:val="00985088"/>
    <w:rsid w:val="009A0C34"/>
    <w:rsid w:val="009A3F6D"/>
    <w:rsid w:val="009D63CC"/>
    <w:rsid w:val="009D7213"/>
    <w:rsid w:val="009E153C"/>
    <w:rsid w:val="009F4C6E"/>
    <w:rsid w:val="00A13C76"/>
    <w:rsid w:val="00A65AE1"/>
    <w:rsid w:val="00A91999"/>
    <w:rsid w:val="00AD40C7"/>
    <w:rsid w:val="00AF0F40"/>
    <w:rsid w:val="00B055BC"/>
    <w:rsid w:val="00B33087"/>
    <w:rsid w:val="00B473B1"/>
    <w:rsid w:val="00B709D3"/>
    <w:rsid w:val="00BA3DBD"/>
    <w:rsid w:val="00BD2903"/>
    <w:rsid w:val="00C112CB"/>
    <w:rsid w:val="00C11B85"/>
    <w:rsid w:val="00C226E7"/>
    <w:rsid w:val="00C3487F"/>
    <w:rsid w:val="00C4272C"/>
    <w:rsid w:val="00C617B7"/>
    <w:rsid w:val="00C63F70"/>
    <w:rsid w:val="00C7422A"/>
    <w:rsid w:val="00C95926"/>
    <w:rsid w:val="00CB3C25"/>
    <w:rsid w:val="00CC1ED6"/>
    <w:rsid w:val="00CF4E5F"/>
    <w:rsid w:val="00CF761D"/>
    <w:rsid w:val="00D20310"/>
    <w:rsid w:val="00D31ABB"/>
    <w:rsid w:val="00D8692F"/>
    <w:rsid w:val="00DA2475"/>
    <w:rsid w:val="00DA2A22"/>
    <w:rsid w:val="00E14483"/>
    <w:rsid w:val="00E469E2"/>
    <w:rsid w:val="00E47AF2"/>
    <w:rsid w:val="00E70DD3"/>
    <w:rsid w:val="00E728C5"/>
    <w:rsid w:val="00E736E6"/>
    <w:rsid w:val="00E8235B"/>
    <w:rsid w:val="00E90BC1"/>
    <w:rsid w:val="00EB396D"/>
    <w:rsid w:val="00EC4AB4"/>
    <w:rsid w:val="00ED049D"/>
    <w:rsid w:val="00ED0C4F"/>
    <w:rsid w:val="00EE18BC"/>
    <w:rsid w:val="00EE780B"/>
    <w:rsid w:val="00F353FB"/>
    <w:rsid w:val="00F55336"/>
    <w:rsid w:val="00FA4219"/>
    <w:rsid w:val="00FD2B88"/>
    <w:rsid w:val="00FF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E8"/>
    <w:pPr>
      <w:ind w:left="720"/>
      <w:contextualSpacing/>
    </w:pPr>
  </w:style>
  <w:style w:type="paragraph" w:customStyle="1" w:styleId="ConsPlusNormal">
    <w:name w:val="ConsPlusNormal"/>
    <w:rsid w:val="000704E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dbfmultilinelbl">
    <w:name w:val="dbf_multiline_lbl"/>
    <w:basedOn w:val="a0"/>
    <w:rsid w:val="000704E8"/>
  </w:style>
  <w:style w:type="paragraph" w:styleId="a4">
    <w:name w:val="footnote text"/>
    <w:basedOn w:val="a"/>
    <w:link w:val="a5"/>
    <w:uiPriority w:val="99"/>
    <w:semiHidden/>
    <w:unhideWhenUsed/>
    <w:rsid w:val="000704E8"/>
    <w:pPr>
      <w:spacing w:after="0" w:line="240" w:lineRule="auto"/>
      <w:ind w:left="0" w:firstLine="0"/>
      <w:jc w:val="left"/>
    </w:pPr>
    <w:rPr>
      <w:rFonts w:asciiTheme="minorHAnsi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04E8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04E8"/>
    <w:rPr>
      <w:vertAlign w:val="superscript"/>
    </w:rPr>
  </w:style>
  <w:style w:type="character" w:styleId="a7">
    <w:name w:val="Hyperlink"/>
    <w:basedOn w:val="a0"/>
    <w:uiPriority w:val="99"/>
    <w:unhideWhenUsed/>
    <w:rsid w:val="00EB396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396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0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5054"/>
  </w:style>
  <w:style w:type="paragraph" w:styleId="ab">
    <w:name w:val="footer"/>
    <w:basedOn w:val="a"/>
    <w:link w:val="ac"/>
    <w:uiPriority w:val="99"/>
    <w:unhideWhenUsed/>
    <w:rsid w:val="0010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054"/>
  </w:style>
  <w:style w:type="paragraph" w:styleId="ad">
    <w:name w:val="Balloon Text"/>
    <w:basedOn w:val="a"/>
    <w:link w:val="ae"/>
    <w:uiPriority w:val="99"/>
    <w:semiHidden/>
    <w:unhideWhenUsed/>
    <w:rsid w:val="001B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E8"/>
    <w:pPr>
      <w:ind w:left="720"/>
      <w:contextualSpacing/>
    </w:pPr>
  </w:style>
  <w:style w:type="paragraph" w:customStyle="1" w:styleId="ConsPlusNormal">
    <w:name w:val="ConsPlusNormal"/>
    <w:rsid w:val="000704E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dbfmultilinelbl">
    <w:name w:val="dbf_multiline_lbl"/>
    <w:basedOn w:val="a0"/>
    <w:rsid w:val="000704E8"/>
  </w:style>
  <w:style w:type="paragraph" w:styleId="a4">
    <w:name w:val="footnote text"/>
    <w:basedOn w:val="a"/>
    <w:link w:val="a5"/>
    <w:uiPriority w:val="99"/>
    <w:semiHidden/>
    <w:unhideWhenUsed/>
    <w:rsid w:val="000704E8"/>
    <w:pPr>
      <w:spacing w:after="0" w:line="240" w:lineRule="auto"/>
      <w:ind w:left="0" w:firstLine="0"/>
      <w:jc w:val="left"/>
    </w:pPr>
    <w:rPr>
      <w:rFonts w:asciiTheme="minorHAnsi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04E8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04E8"/>
    <w:rPr>
      <w:vertAlign w:val="superscript"/>
    </w:rPr>
  </w:style>
  <w:style w:type="character" w:styleId="a7">
    <w:name w:val="Hyperlink"/>
    <w:basedOn w:val="a0"/>
    <w:uiPriority w:val="99"/>
    <w:unhideWhenUsed/>
    <w:rsid w:val="00EB396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396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0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5054"/>
  </w:style>
  <w:style w:type="paragraph" w:styleId="ab">
    <w:name w:val="footer"/>
    <w:basedOn w:val="a"/>
    <w:link w:val="ac"/>
    <w:uiPriority w:val="99"/>
    <w:unhideWhenUsed/>
    <w:rsid w:val="0010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rprf.ru/liz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D52C9-F130-47E1-B376-A01BB010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14</cp:revision>
  <dcterms:created xsi:type="dcterms:W3CDTF">2016-02-18T14:02:00Z</dcterms:created>
  <dcterms:modified xsi:type="dcterms:W3CDTF">2016-02-18T14:17:00Z</dcterms:modified>
</cp:coreProperties>
</file>