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1B3" w:rsidRDefault="005226AF">
      <w:pPr>
        <w:pStyle w:val="1"/>
        <w:shd w:val="clear" w:color="auto" w:fill="auto"/>
        <w:spacing w:after="420" w:line="240" w:lineRule="auto"/>
        <w:ind w:right="660" w:firstLine="0"/>
        <w:jc w:val="center"/>
      </w:pPr>
      <w:r>
        <w:rPr>
          <w:b/>
          <w:bCs/>
        </w:rPr>
        <w:t>РЕКОМЕНДАЦИИ</w:t>
      </w:r>
    </w:p>
    <w:p w:rsidR="00986963" w:rsidRDefault="005226AF" w:rsidP="00986963">
      <w:pPr>
        <w:pStyle w:val="1"/>
        <w:shd w:val="clear" w:color="auto" w:fill="auto"/>
        <w:ind w:right="660" w:firstLine="0"/>
        <w:jc w:val="center"/>
        <w:rPr>
          <w:b/>
          <w:bCs/>
        </w:rPr>
      </w:pPr>
      <w:r>
        <w:rPr>
          <w:b/>
          <w:bCs/>
        </w:rPr>
        <w:t>XX Всероссийской банковской конференции</w:t>
      </w:r>
      <w:r w:rsidR="00986963">
        <w:rPr>
          <w:b/>
          <w:bCs/>
        </w:rPr>
        <w:t xml:space="preserve"> </w:t>
      </w:r>
    </w:p>
    <w:p w:rsidR="00986963" w:rsidRDefault="005226AF" w:rsidP="00986963">
      <w:pPr>
        <w:pStyle w:val="1"/>
        <w:shd w:val="clear" w:color="auto" w:fill="auto"/>
        <w:ind w:right="660" w:firstLine="0"/>
        <w:jc w:val="center"/>
      </w:pPr>
      <w:r>
        <w:rPr>
          <w:b/>
          <w:bCs/>
        </w:rPr>
        <w:t>«Банковская система России 2018:</w:t>
      </w:r>
      <w:r w:rsidR="00986963">
        <w:t xml:space="preserve"> </w:t>
      </w:r>
    </w:p>
    <w:p w:rsidR="005831B3" w:rsidRDefault="005226AF" w:rsidP="00986963">
      <w:pPr>
        <w:pStyle w:val="1"/>
        <w:shd w:val="clear" w:color="auto" w:fill="auto"/>
        <w:ind w:right="660" w:firstLine="0"/>
        <w:jc w:val="center"/>
      </w:pPr>
      <w:r>
        <w:rPr>
          <w:b/>
          <w:bCs/>
        </w:rPr>
        <w:t>практические вопросы текущего надзора и регулирования»</w:t>
      </w:r>
    </w:p>
    <w:p w:rsidR="005831B3" w:rsidRDefault="005226AF" w:rsidP="00986963">
      <w:pPr>
        <w:pStyle w:val="1"/>
        <w:shd w:val="clear" w:color="auto" w:fill="auto"/>
        <w:spacing w:after="360"/>
        <w:ind w:firstLine="0"/>
        <w:jc w:val="center"/>
      </w:pPr>
      <w:r>
        <w:t>г. Москва, 29 марта 2018 года '</w:t>
      </w:r>
    </w:p>
    <w:p w:rsidR="005831B3" w:rsidRDefault="005226AF">
      <w:pPr>
        <w:pStyle w:val="1"/>
        <w:shd w:val="clear" w:color="auto" w:fill="auto"/>
        <w:ind w:firstLine="740"/>
      </w:pPr>
      <w:r>
        <w:rPr>
          <w:b/>
          <w:bCs/>
        </w:rPr>
        <w:t>Центральному банку Российской Федерации:</w:t>
      </w:r>
    </w:p>
    <w:p w:rsidR="005831B3" w:rsidRDefault="005226AF">
      <w:pPr>
        <w:pStyle w:val="1"/>
        <w:numPr>
          <w:ilvl w:val="0"/>
          <w:numId w:val="3"/>
        </w:numPr>
        <w:shd w:val="clear" w:color="auto" w:fill="auto"/>
        <w:tabs>
          <w:tab w:val="left" w:pos="1076"/>
        </w:tabs>
        <w:ind w:firstLine="740"/>
      </w:pPr>
      <w:r>
        <w:t>При разработке нормативной базы пропорционального регулирования предусмотреть меры, направленные на снижение регуляторной и административной нагрузки для банков с базовой лицензией, принимая во внимание прозрачность их деятельности надзорному блоку, минимальность значений рисков (в абсолютном выражении) и их минимальное влияние на устойчивость банковской системы в целом.</w:t>
      </w:r>
    </w:p>
    <w:p w:rsidR="005831B3" w:rsidRDefault="005226AF">
      <w:pPr>
        <w:pStyle w:val="1"/>
        <w:numPr>
          <w:ilvl w:val="0"/>
          <w:numId w:val="3"/>
        </w:numPr>
        <w:shd w:val="clear" w:color="auto" w:fill="auto"/>
        <w:tabs>
          <w:tab w:val="left" w:pos="1057"/>
        </w:tabs>
        <w:ind w:firstLine="740"/>
      </w:pPr>
      <w:r>
        <w:t>В целях стимулирования корпоративного кредитования, в том числе сегмента МСП:</w:t>
      </w:r>
    </w:p>
    <w:p w:rsidR="005831B3" w:rsidRDefault="005226AF">
      <w:pPr>
        <w:pStyle w:val="1"/>
        <w:shd w:val="clear" w:color="auto" w:fill="auto"/>
        <w:ind w:firstLine="740"/>
      </w:pPr>
      <w:r>
        <w:t>внести изменения в порядок формирования резервов на возможные потери по ссудам, направленные на обеспечение возможности использования альтернативных источников информации для оценки финансового состояния субъектов малого и среднего бизнеса, расширение возможности отнесения ссуд МСП в портфели однородных ссуд;</w:t>
      </w:r>
    </w:p>
    <w:p w:rsidR="005831B3" w:rsidRDefault="005226AF">
      <w:pPr>
        <w:pStyle w:val="1"/>
        <w:shd w:val="clear" w:color="auto" w:fill="auto"/>
        <w:ind w:firstLine="740"/>
      </w:pPr>
      <w:r>
        <w:t>ускорить введение особого порядка формирования резервов по проектному финансированию;</w:t>
      </w:r>
    </w:p>
    <w:p w:rsidR="005831B3" w:rsidRDefault="005226AF">
      <w:pPr>
        <w:pStyle w:val="1"/>
        <w:shd w:val="clear" w:color="auto" w:fill="auto"/>
        <w:ind w:firstLine="740"/>
      </w:pPr>
      <w:r>
        <w:t xml:space="preserve">в рамках доработки условий простой прозрачной секьюритизации учесть специфику кредитов МСП для обеспечения возможности их секьюритизации, в том числе на </w:t>
      </w:r>
      <w:proofErr w:type="spellStart"/>
      <w:r>
        <w:t>мультиоригинаторной</w:t>
      </w:r>
      <w:proofErr w:type="spellEnd"/>
      <w:r>
        <w:t xml:space="preserve"> основе;</w:t>
      </w:r>
    </w:p>
    <w:p w:rsidR="005831B3" w:rsidRDefault="005226AF">
      <w:pPr>
        <w:pStyle w:val="1"/>
        <w:shd w:val="clear" w:color="auto" w:fill="auto"/>
        <w:ind w:firstLine="740"/>
      </w:pPr>
      <w:r>
        <w:t>в ходе реформы регулирования залогового обеспечения провести анализ влияния рассматриваемых к внедрению изменений на доступность кредитов для отдельных категорий заемщиков;</w:t>
      </w:r>
    </w:p>
    <w:p w:rsidR="005831B3" w:rsidRDefault="005226AF">
      <w:pPr>
        <w:pStyle w:val="1"/>
        <w:shd w:val="clear" w:color="auto" w:fill="auto"/>
        <w:ind w:firstLine="740"/>
      </w:pPr>
      <w:r>
        <w:t>провести анализ эффективности действующих нормативных стимулов для кредитования субъектов МСП в зависимости от масштаба бизнеса кредиторов;</w:t>
      </w:r>
    </w:p>
    <w:p w:rsidR="005831B3" w:rsidRDefault="005226AF">
      <w:pPr>
        <w:pStyle w:val="1"/>
        <w:shd w:val="clear" w:color="auto" w:fill="auto"/>
        <w:ind w:firstLine="740"/>
      </w:pPr>
      <w:r>
        <w:t>при разработке нормативной базы банков с базовой лицензией в рамках пропорционального регулирования выработать баланс ограничивающих и поощряющих мер, направленных на стимулирование кредитования малого и среднего бизнеса;</w:t>
      </w:r>
    </w:p>
    <w:p w:rsidR="005831B3" w:rsidRDefault="005226AF">
      <w:pPr>
        <w:pStyle w:val="1"/>
        <w:shd w:val="clear" w:color="auto" w:fill="auto"/>
        <w:ind w:firstLine="740"/>
      </w:pPr>
      <w:r>
        <w:t>предусмотреть комплекс мер, направленных на применение всеми участниками банковского рынка унифицированных критериев оценки финансового положения в зависимости от профиля заёмщика.</w:t>
      </w:r>
    </w:p>
    <w:p w:rsidR="005831B3" w:rsidRDefault="005226AF" w:rsidP="006C7FAB">
      <w:pPr>
        <w:pStyle w:val="1"/>
        <w:numPr>
          <w:ilvl w:val="0"/>
          <w:numId w:val="3"/>
        </w:numPr>
        <w:shd w:val="clear" w:color="auto" w:fill="auto"/>
        <w:tabs>
          <w:tab w:val="left" w:pos="1071"/>
        </w:tabs>
        <w:ind w:firstLine="740"/>
      </w:pPr>
      <w:r>
        <w:t xml:space="preserve">Рассмотреть возможность установления критериев добросовестной конкуренции, недобросовестного поведения на рынке банковских услуг с дальнейшим </w:t>
      </w:r>
      <w:r>
        <w:lastRenderedPageBreak/>
        <w:t>учетом их влияния на качество управления кредитной организацией</w:t>
      </w:r>
      <w:r w:rsidR="006C7FAB">
        <w:t xml:space="preserve"> </w:t>
      </w:r>
      <w:r>
        <w:t>и на оценку экономического положения кредитной организации в целом.</w:t>
      </w:r>
    </w:p>
    <w:p w:rsidR="006C7FAB" w:rsidRPr="00B23D4F" w:rsidRDefault="006C7FAB" w:rsidP="006C7FAB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spacing w:line="300" w:lineRule="auto"/>
        <w:ind w:firstLine="740"/>
      </w:pPr>
      <w:r w:rsidRPr="00BD7C5C">
        <w:t>Рассмотреть возможность учета ИТ-инвестиций в части приобретения нематериальных активов</w:t>
      </w:r>
      <w:r w:rsidR="00BD7C5C" w:rsidRPr="00BD7C5C">
        <w:t>, в том числе</w:t>
      </w:r>
      <w:r w:rsidRPr="00BD7C5C">
        <w:t xml:space="preserve"> лицензий на право использования программного обеспечения</w:t>
      </w:r>
      <w:r w:rsidR="00BD7C5C" w:rsidRPr="00BD7C5C">
        <w:t>,</w:t>
      </w:r>
      <w:r w:rsidRPr="00BD7C5C">
        <w:t xml:space="preserve"> при расчете собственного капитала кредитных организаций</w:t>
      </w:r>
      <w:r w:rsidR="00B23D4F">
        <w:t xml:space="preserve">. </w:t>
      </w:r>
    </w:p>
    <w:p w:rsidR="005831B3" w:rsidRDefault="005226AF" w:rsidP="006C7FAB">
      <w:pPr>
        <w:pStyle w:val="1"/>
        <w:numPr>
          <w:ilvl w:val="0"/>
          <w:numId w:val="3"/>
        </w:numPr>
        <w:shd w:val="clear" w:color="auto" w:fill="auto"/>
        <w:tabs>
          <w:tab w:val="left" w:pos="1071"/>
        </w:tabs>
        <w:spacing w:line="300" w:lineRule="auto"/>
        <w:ind w:firstLine="740"/>
      </w:pPr>
      <w:r>
        <w:t>В целях совершенствования управления рисками и капиталом кредитных организаций принять во внимание следующие предложения</w:t>
      </w:r>
      <w:r w:rsidR="006C7FAB">
        <w:t xml:space="preserve"> </w:t>
      </w:r>
      <w:r>
        <w:t>банковского сообщества:</w:t>
      </w:r>
    </w:p>
    <w:p w:rsidR="005831B3" w:rsidRDefault="005226AF">
      <w:pPr>
        <w:pStyle w:val="1"/>
        <w:shd w:val="clear" w:color="auto" w:fill="auto"/>
        <w:spacing w:line="302" w:lineRule="auto"/>
        <w:ind w:firstLine="760"/>
      </w:pPr>
      <w:r>
        <w:t>ввести ограничение на предельный уровень дополнительных требований к нормативу достаточности капитала, установить верхнее предельное значение для национальной (РФ) антициклической надбавки к нормативам достаточности капитала</w:t>
      </w:r>
      <w:r w:rsidR="00C3252C">
        <w:t>;</w:t>
      </w:r>
    </w:p>
    <w:p w:rsidR="005831B3" w:rsidRDefault="005226AF">
      <w:pPr>
        <w:pStyle w:val="1"/>
        <w:shd w:val="clear" w:color="auto" w:fill="auto"/>
        <w:ind w:firstLine="760"/>
      </w:pPr>
      <w:r>
        <w:t>обеспечить прозрачность подходов к проверкам ВПОДК</w:t>
      </w:r>
      <w:r w:rsidR="00C3252C">
        <w:t xml:space="preserve">, </w:t>
      </w:r>
      <w:r w:rsidR="00C3252C" w:rsidRPr="00BD7C5C">
        <w:t xml:space="preserve">в том числе в части нефинансовых рисков и </w:t>
      </w:r>
      <w:r w:rsidR="00BD7C5C" w:rsidRPr="00BD7C5C">
        <w:t>процедур</w:t>
      </w:r>
      <w:r w:rsidR="00C3252C" w:rsidRPr="00BD7C5C">
        <w:t xml:space="preserve"> стресс-тестирования,</w:t>
      </w:r>
      <w:r>
        <w:t xml:space="preserve"> и методик установления индивидуального предельного значения нормативов;</w:t>
      </w:r>
    </w:p>
    <w:p w:rsidR="005831B3" w:rsidRDefault="005226AF">
      <w:pPr>
        <w:pStyle w:val="1"/>
        <w:shd w:val="clear" w:color="auto" w:fill="auto"/>
        <w:ind w:firstLine="760"/>
      </w:pPr>
      <w:r>
        <w:t>в связи планируемой отменой отчетности по МСФО на соло уровне, исключить реализацию ВПОДК в части определенных компонентов на индивидуальном уровне участника группы, ограничившись консолидированным периметром банковской группы;</w:t>
      </w:r>
    </w:p>
    <w:p w:rsidR="005831B3" w:rsidRDefault="005226AF">
      <w:pPr>
        <w:pStyle w:val="1"/>
        <w:shd w:val="clear" w:color="auto" w:fill="auto"/>
        <w:ind w:firstLine="760"/>
      </w:pPr>
      <w:r>
        <w:t>сместить акцент процедур ВПОДК с использования исторических данных на актуальные процедуры и элементы ВПОДК;</w:t>
      </w:r>
    </w:p>
    <w:p w:rsidR="005831B3" w:rsidRDefault="005226AF">
      <w:pPr>
        <w:pStyle w:val="1"/>
        <w:shd w:val="clear" w:color="auto" w:fill="auto"/>
        <w:ind w:firstLine="760"/>
      </w:pPr>
      <w:r>
        <w:t>доработать форму отчётности 0409111 с учетом замечаний и предложений кредитных организаций;</w:t>
      </w:r>
    </w:p>
    <w:p w:rsidR="005831B3" w:rsidRDefault="005226AF">
      <w:pPr>
        <w:pStyle w:val="1"/>
        <w:shd w:val="clear" w:color="auto" w:fill="auto"/>
        <w:ind w:firstLine="760"/>
      </w:pPr>
      <w:r>
        <w:t>закрепить инструменты и форматы обратной связи со стороны Банка России по результатам проверки ВПОДК, в том числе предусмотреть порядок вынесения рекомендаций и фиксирования сроков их реализации (устранения недостатков), например, в течение не менее 1 года, с уточнением, что индивидуальные надбавки к достаточности капитала устанавливаются в случае, если данные рекомендации не исполнены в указанный срок.</w:t>
      </w:r>
    </w:p>
    <w:p w:rsidR="006C7FAB" w:rsidRPr="00BD7C5C" w:rsidRDefault="006C7FAB" w:rsidP="006C7FAB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ind w:firstLine="760"/>
      </w:pPr>
      <w:r w:rsidRPr="00BD7C5C">
        <w:t xml:space="preserve">В </w:t>
      </w:r>
      <w:r w:rsidR="005226AF" w:rsidRPr="00BD7C5C">
        <w:t>процедуру</w:t>
      </w:r>
      <w:r w:rsidRPr="00BD7C5C">
        <w:t xml:space="preserve"> оценки регулирующего воздействия проектов нормативных актов Банка России </w:t>
      </w:r>
      <w:r w:rsidR="005226AF" w:rsidRPr="00BD7C5C">
        <w:t>включить</w:t>
      </w:r>
      <w:r w:rsidRPr="00BD7C5C">
        <w:t xml:space="preserve"> оценк</w:t>
      </w:r>
      <w:r w:rsidR="005226AF" w:rsidRPr="00BD7C5C">
        <w:t>у</w:t>
      </w:r>
      <w:r w:rsidRPr="00BD7C5C">
        <w:t xml:space="preserve"> технической реализуемости и ее сроков на стороне кредитных организаций. </w:t>
      </w:r>
    </w:p>
    <w:p w:rsidR="005831B3" w:rsidRDefault="005226AF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ind w:firstLine="760"/>
      </w:pPr>
      <w:r>
        <w:t>Рассмотреть возможность внедрения системы медиации, направленной на соответствие применяемых мер воздействия и длительности их действия масштабам нарушений и размерам бизнеса кредитных организаций.</w:t>
      </w:r>
    </w:p>
    <w:p w:rsidR="005831B3" w:rsidRDefault="005226AF">
      <w:pPr>
        <w:pStyle w:val="1"/>
        <w:numPr>
          <w:ilvl w:val="0"/>
          <w:numId w:val="3"/>
        </w:numPr>
        <w:shd w:val="clear" w:color="auto" w:fill="auto"/>
        <w:tabs>
          <w:tab w:val="left" w:pos="1076"/>
        </w:tabs>
        <w:ind w:firstLine="760"/>
      </w:pPr>
      <w:r>
        <w:t>При рассмотрении вопроса повышения открытости деятельности надзорного блока не публиковать адресные предписания о мерах воздействия, ориентироваться на размещение обзорной информации за период в целом по рынку.</w:t>
      </w:r>
    </w:p>
    <w:p w:rsidR="005831B3" w:rsidRDefault="005226AF">
      <w:pPr>
        <w:pStyle w:val="1"/>
        <w:numPr>
          <w:ilvl w:val="0"/>
          <w:numId w:val="3"/>
        </w:numPr>
        <w:shd w:val="clear" w:color="auto" w:fill="auto"/>
        <w:tabs>
          <w:tab w:val="left" w:pos="1071"/>
        </w:tabs>
        <w:ind w:firstLine="760"/>
      </w:pPr>
      <w:r>
        <w:t>Рассмотреть возможность опубликования обзора кейсов правильного/неправильного применения законодательства о связанности лиц (без раскрытия наименования конкретных лиц).</w:t>
      </w:r>
    </w:p>
    <w:p w:rsidR="005831B3" w:rsidRDefault="005226AF">
      <w:pPr>
        <w:pStyle w:val="1"/>
        <w:numPr>
          <w:ilvl w:val="0"/>
          <w:numId w:val="3"/>
        </w:numPr>
        <w:shd w:val="clear" w:color="auto" w:fill="auto"/>
        <w:tabs>
          <w:tab w:val="left" w:pos="1076"/>
        </w:tabs>
        <w:ind w:firstLine="760"/>
      </w:pPr>
      <w:r>
        <w:lastRenderedPageBreak/>
        <w:t>Продолжить совершенствование форм и порядка предоставления банковской отчетности, рассмотреть вопрос о сокращении количества форм банковской отчетности, в том числе отменить ряд форм для банков с базовой лицензией, как не влияющих на статические показатели и не нужных для ежедневного анализа.</w:t>
      </w:r>
    </w:p>
    <w:p w:rsidR="005831B3" w:rsidRDefault="005226AF">
      <w:pPr>
        <w:pStyle w:val="1"/>
        <w:numPr>
          <w:ilvl w:val="0"/>
          <w:numId w:val="3"/>
        </w:numPr>
        <w:shd w:val="clear" w:color="auto" w:fill="auto"/>
        <w:tabs>
          <w:tab w:val="left" w:pos="1426"/>
        </w:tabs>
        <w:ind w:firstLine="760"/>
      </w:pPr>
      <w:r>
        <w:t>Предусмотреть опубликование пакетных пресс-релизов изменений программных комплексов предоставления регламентной отчетности с учетом сроков, необходимых для имплементации банками; стандартизировать формы запросов, направляемых в ходе проверок и дистанционного надзора, ответов на них.</w:t>
      </w:r>
    </w:p>
    <w:p w:rsidR="005831B3" w:rsidRDefault="005226AF">
      <w:pPr>
        <w:pStyle w:val="1"/>
        <w:numPr>
          <w:ilvl w:val="0"/>
          <w:numId w:val="3"/>
        </w:numPr>
        <w:shd w:val="clear" w:color="auto" w:fill="auto"/>
        <w:tabs>
          <w:tab w:val="left" w:pos="1210"/>
        </w:tabs>
        <w:spacing w:line="300" w:lineRule="auto"/>
        <w:ind w:firstLine="740"/>
      </w:pPr>
      <w:r>
        <w:t>В целях применения упреждающих мер, направленных на предупреждение и предотвращение проведения сомнительных операций до момента установления отношений с потенциальными клиентами - физическими лицами или до начала их сомнительной активности в банке, подготовить Методические рекомендации в отношении индивидуальных предпринимателей и физических лиц.</w:t>
      </w:r>
    </w:p>
    <w:p w:rsidR="005831B3" w:rsidRDefault="005226AF">
      <w:pPr>
        <w:pStyle w:val="1"/>
        <w:numPr>
          <w:ilvl w:val="0"/>
          <w:numId w:val="3"/>
        </w:numPr>
        <w:shd w:val="clear" w:color="auto" w:fill="auto"/>
        <w:tabs>
          <w:tab w:val="left" w:pos="1215"/>
        </w:tabs>
        <w:spacing w:line="300" w:lineRule="auto"/>
        <w:ind w:firstLine="740"/>
      </w:pPr>
      <w:r>
        <w:t>В целях эффективной реализации требований Федерального закона № 115-ФЗ издать разъяснения о подходах к управлению риском ОД/ФТ при принятии банком решения об отказе в проведении операции, от заключения договора банковского счета (вклада) или для расторжения договора банковского счета (вклада) с клиентом, включающие рекомендации о проведении анализа представленных клиентом документов и (или) сведений для подтверждения отсутствия оснований для принятия решения об отказе.</w:t>
      </w:r>
    </w:p>
    <w:p w:rsidR="00B23D4F" w:rsidRDefault="00B23D4F" w:rsidP="00B23D4F">
      <w:pPr>
        <w:pStyle w:val="1"/>
        <w:shd w:val="clear" w:color="auto" w:fill="auto"/>
        <w:tabs>
          <w:tab w:val="left" w:pos="1215"/>
        </w:tabs>
        <w:spacing w:line="300" w:lineRule="auto"/>
        <w:ind w:left="740" w:firstLine="0"/>
      </w:pPr>
      <w:bookmarkStart w:id="0" w:name="_GoBack"/>
      <w:bookmarkEnd w:id="0"/>
    </w:p>
    <w:sectPr w:rsidR="00B23D4F">
      <w:footerReference w:type="default" r:id="rId7"/>
      <w:footerReference w:type="first" r:id="rId8"/>
      <w:pgSz w:w="11900" w:h="16840"/>
      <w:pgMar w:top="1281" w:right="863" w:bottom="854" w:left="137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04E" w:rsidRDefault="00F9304E">
      <w:r>
        <w:separator/>
      </w:r>
    </w:p>
  </w:endnote>
  <w:endnote w:type="continuationSeparator" w:id="0">
    <w:p w:rsidR="00F9304E" w:rsidRDefault="00F9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B3" w:rsidRDefault="005226A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6875780</wp:posOffset>
              </wp:positionH>
              <wp:positionV relativeFrom="page">
                <wp:posOffset>10216515</wp:posOffset>
              </wp:positionV>
              <wp:extent cx="6096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31B3" w:rsidRDefault="005226A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7863" w:rsidRPr="00597863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1.4pt;margin-top:804.45pt;width:4.8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" filled="f" stroked="f">
              <v:textbox style="mso-fit-shape-to-text:t" inset="0,0,0,0">
                <w:txbxContent>
                  <w:p w:rsidR="005831B3" w:rsidRDefault="005226A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7863" w:rsidRPr="00597863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B3" w:rsidRDefault="005831B3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04E" w:rsidRDefault="00F9304E"/>
  </w:footnote>
  <w:footnote w:type="continuationSeparator" w:id="0">
    <w:p w:rsidR="00F9304E" w:rsidRDefault="00F930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27E53"/>
    <w:multiLevelType w:val="multilevel"/>
    <w:tmpl w:val="36AA6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C644DC"/>
    <w:multiLevelType w:val="multilevel"/>
    <w:tmpl w:val="C95A2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C371E2"/>
    <w:multiLevelType w:val="multilevel"/>
    <w:tmpl w:val="63E85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B751E9"/>
    <w:multiLevelType w:val="multilevel"/>
    <w:tmpl w:val="27AE8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B3"/>
    <w:rsid w:val="00064DE4"/>
    <w:rsid w:val="000B78EB"/>
    <w:rsid w:val="00244142"/>
    <w:rsid w:val="003066ED"/>
    <w:rsid w:val="003618E4"/>
    <w:rsid w:val="003B581A"/>
    <w:rsid w:val="004758A8"/>
    <w:rsid w:val="005226AF"/>
    <w:rsid w:val="00537871"/>
    <w:rsid w:val="005831B3"/>
    <w:rsid w:val="00597863"/>
    <w:rsid w:val="005C30AE"/>
    <w:rsid w:val="00646492"/>
    <w:rsid w:val="006C7FAB"/>
    <w:rsid w:val="006D5A9B"/>
    <w:rsid w:val="0079172E"/>
    <w:rsid w:val="00871D2B"/>
    <w:rsid w:val="008F7752"/>
    <w:rsid w:val="00907E05"/>
    <w:rsid w:val="00986963"/>
    <w:rsid w:val="00AE60C5"/>
    <w:rsid w:val="00B23D4F"/>
    <w:rsid w:val="00BB3886"/>
    <w:rsid w:val="00BD7C5C"/>
    <w:rsid w:val="00C3252C"/>
    <w:rsid w:val="00C36140"/>
    <w:rsid w:val="00C81131"/>
    <w:rsid w:val="00F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01AFB-DC30-4076-B04A-782A4EE5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98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066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6ED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6D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Елена</dc:creator>
  <cp:lastModifiedBy>User</cp:lastModifiedBy>
  <cp:revision>3</cp:revision>
  <cp:lastPrinted>2018-04-10T19:51:00Z</cp:lastPrinted>
  <dcterms:created xsi:type="dcterms:W3CDTF">2018-08-03T08:04:00Z</dcterms:created>
  <dcterms:modified xsi:type="dcterms:W3CDTF">2018-08-03T08:59:00Z</dcterms:modified>
</cp:coreProperties>
</file>