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29" w:rsidRPr="003B61F4" w:rsidRDefault="00495C29" w:rsidP="00495C29">
      <w:pPr>
        <w:ind w:right="-284" w:firstLine="720"/>
        <w:jc w:val="both"/>
        <w:rPr>
          <w:rFonts w:ascii="Times New Roman" w:eastAsia="Times New Roman" w:hAnsi="Times New Roman" w:cs="Times New Roman"/>
          <w:b/>
          <w:sz w:val="26"/>
          <w:szCs w:val="26"/>
        </w:rPr>
      </w:pPr>
      <w:r w:rsidRPr="003B61F4">
        <w:rPr>
          <w:rFonts w:ascii="Times New Roman" w:eastAsia="Times New Roman" w:hAnsi="Times New Roman" w:cs="Times New Roman"/>
          <w:b/>
          <w:sz w:val="26"/>
          <w:szCs w:val="26"/>
        </w:rPr>
        <w:t xml:space="preserve">Ассоциация «Россия» направила в адрес Банка России письмо 06/253 от 09.12.2014 </w:t>
      </w:r>
      <w:r w:rsidR="00EB695B" w:rsidRPr="003B61F4">
        <w:rPr>
          <w:rFonts w:ascii="Times New Roman" w:eastAsia="Times New Roman" w:hAnsi="Times New Roman" w:cs="Times New Roman"/>
          <w:b/>
          <w:sz w:val="26"/>
          <w:szCs w:val="26"/>
        </w:rPr>
        <w:t xml:space="preserve">с предложениями о принятии мер </w:t>
      </w:r>
      <w:r w:rsidR="003B61F4">
        <w:rPr>
          <w:rFonts w:ascii="Times New Roman" w:eastAsia="Times New Roman" w:hAnsi="Times New Roman" w:cs="Times New Roman"/>
          <w:b/>
          <w:sz w:val="26"/>
          <w:szCs w:val="26"/>
        </w:rPr>
        <w:t>по рефинансированию банковского сектора</w:t>
      </w:r>
      <w:r w:rsidRPr="003B61F4">
        <w:rPr>
          <w:rFonts w:ascii="Times New Roman" w:eastAsia="Times New Roman" w:hAnsi="Times New Roman" w:cs="Times New Roman"/>
          <w:b/>
          <w:sz w:val="26"/>
          <w:szCs w:val="26"/>
        </w:rPr>
        <w:t>.</w:t>
      </w:r>
      <w:r w:rsidR="00685759">
        <w:rPr>
          <w:rFonts w:ascii="Times New Roman" w:eastAsia="Times New Roman" w:hAnsi="Times New Roman" w:cs="Times New Roman"/>
          <w:b/>
          <w:sz w:val="26"/>
          <w:szCs w:val="26"/>
        </w:rPr>
        <w:t xml:space="preserve"> </w:t>
      </w:r>
      <w:r w:rsidRPr="003B61F4">
        <w:rPr>
          <w:rFonts w:ascii="Times New Roman" w:eastAsia="Times New Roman" w:hAnsi="Times New Roman" w:cs="Times New Roman"/>
          <w:b/>
          <w:sz w:val="26"/>
          <w:szCs w:val="26"/>
        </w:rPr>
        <w:t>В январе 2015 года от Банка России был получен ответ (письмо №016-41-1/144 от 15.01.2015), разъясняющий позицию регулятора в отношении предложенных мер.</w:t>
      </w:r>
    </w:p>
    <w:p w:rsidR="006D6184" w:rsidRDefault="006D6184" w:rsidP="00495C29">
      <w:pPr>
        <w:shd w:val="clear" w:color="auto" w:fill="FFFFFF"/>
        <w:tabs>
          <w:tab w:val="left" w:pos="709"/>
        </w:tabs>
        <w:spacing w:line="360" w:lineRule="auto"/>
        <w:ind w:right="-284" w:firstLine="710"/>
        <w:jc w:val="both"/>
        <w:rPr>
          <w:rFonts w:ascii="Times New Roman" w:eastAsia="Times New Roman" w:hAnsi="Times New Roman" w:cs="Times New Roman"/>
          <w:b/>
          <w:bCs/>
          <w:i/>
          <w:iCs/>
          <w:sz w:val="26"/>
          <w:szCs w:val="26"/>
        </w:rPr>
      </w:pPr>
    </w:p>
    <w:p w:rsidR="00495C29" w:rsidRPr="00D318AA" w:rsidRDefault="00495C29" w:rsidP="00495C29">
      <w:pPr>
        <w:shd w:val="clear" w:color="auto" w:fill="FFFFFF"/>
        <w:tabs>
          <w:tab w:val="left" w:pos="709"/>
        </w:tabs>
        <w:spacing w:line="360" w:lineRule="auto"/>
        <w:ind w:right="-28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 внесении</w:t>
      </w:r>
      <w:r w:rsidRPr="00D318AA">
        <w:rPr>
          <w:rFonts w:ascii="Times New Roman" w:eastAsia="Times New Roman" w:hAnsi="Times New Roman" w:cs="Times New Roman"/>
          <w:sz w:val="26"/>
          <w:szCs w:val="26"/>
        </w:rPr>
        <w:t xml:space="preserve"> изменений в Положение ЦБ РФ от 12 ноября 2007г. № 312-П «Положение о порядке предоставления Банком России кредитным организациям кредитов, обеспеченных активами или поручительствами».</w:t>
      </w:r>
    </w:p>
    <w:p w:rsidR="00495C29" w:rsidRPr="00D318AA" w:rsidRDefault="00F937F1" w:rsidP="00495C29">
      <w:pPr>
        <w:shd w:val="clear" w:color="auto" w:fill="FFFFFF"/>
        <w:tabs>
          <w:tab w:val="left" w:pos="709"/>
          <w:tab w:val="left" w:pos="869"/>
        </w:tabs>
        <w:spacing w:line="360" w:lineRule="auto"/>
        <w:ind w:right="-284" w:firstLine="710"/>
        <w:jc w:val="both"/>
        <w:rPr>
          <w:rFonts w:ascii="Times New Roman" w:hAnsi="Times New Roman" w:cs="Times New Roman"/>
          <w:sz w:val="26"/>
          <w:szCs w:val="26"/>
        </w:rPr>
      </w:pPr>
      <w:r>
        <w:rPr>
          <w:rFonts w:ascii="Times New Roman" w:hAnsi="Times New Roman" w:cs="Times New Roman"/>
          <w:b/>
          <w:sz w:val="26"/>
          <w:szCs w:val="26"/>
        </w:rPr>
        <w:t xml:space="preserve">Предложение </w:t>
      </w:r>
      <w:r w:rsidR="00495C29" w:rsidRPr="00D318AA">
        <w:rPr>
          <w:rFonts w:ascii="Times New Roman" w:hAnsi="Times New Roman" w:cs="Times New Roman"/>
          <w:b/>
          <w:sz w:val="26"/>
          <w:szCs w:val="26"/>
        </w:rPr>
        <w:t>1.</w:t>
      </w:r>
      <w:r w:rsidR="00495C29">
        <w:rPr>
          <w:rFonts w:ascii="Times New Roman" w:hAnsi="Times New Roman" w:cs="Times New Roman"/>
          <w:sz w:val="26"/>
          <w:szCs w:val="26"/>
        </w:rPr>
        <w:t xml:space="preserve"> </w:t>
      </w:r>
      <w:r w:rsidR="00495C29">
        <w:rPr>
          <w:rFonts w:ascii="Times New Roman" w:eastAsia="Times New Roman" w:hAnsi="Times New Roman" w:cs="Times New Roman"/>
          <w:sz w:val="26"/>
          <w:szCs w:val="26"/>
        </w:rPr>
        <w:t>Д</w:t>
      </w:r>
      <w:r w:rsidR="00495C29" w:rsidRPr="00D318AA">
        <w:rPr>
          <w:rFonts w:ascii="Times New Roman" w:eastAsia="Times New Roman" w:hAnsi="Times New Roman" w:cs="Times New Roman"/>
          <w:sz w:val="26"/>
          <w:szCs w:val="26"/>
        </w:rPr>
        <w:t xml:space="preserve">обавить права требования по кредитам МСП и кредитам физических лиц, сформированные в портфели однородных ссуд. В письме Ассоциации от 20.10.14 №06/229 предложены конкретные критерии и механизмы, позволяющие Банку России адекватно оценить качество этого залогового обеспечения (в качестве критериев отбора вышеуказанных активов предлагается рассмотреть следующие: уровень просрочки по портфелям однородных ссуд не должен превышать 1-5 % от суммы выданных кредитов физическим лицам; средний уровень ставок по портфелям однородных ссуд не должен находиться на уровне существенно </w:t>
      </w:r>
      <w:r w:rsidR="00495C29" w:rsidRPr="00D318AA">
        <w:rPr>
          <w:rFonts w:ascii="Times New Roman" w:eastAsia="Times New Roman" w:hAnsi="Times New Roman" w:cs="Times New Roman"/>
          <w:spacing w:val="-1"/>
          <w:sz w:val="26"/>
          <w:szCs w:val="26"/>
        </w:rPr>
        <w:t xml:space="preserve">выше среднерыночного; кредиты, сформированные в портфели однородных ссуд, должны быть </w:t>
      </w:r>
      <w:r w:rsidR="00495C29" w:rsidRPr="00D318AA">
        <w:rPr>
          <w:rFonts w:ascii="Times New Roman" w:eastAsia="Times New Roman" w:hAnsi="Times New Roman" w:cs="Times New Roman"/>
          <w:sz w:val="26"/>
          <w:szCs w:val="26"/>
        </w:rPr>
        <w:t>обеспечены залогом имущества или поручительствами физических или юридических лиц).</w:t>
      </w:r>
    </w:p>
    <w:p w:rsidR="00495C29" w:rsidRDefault="00495C29" w:rsidP="00495C29">
      <w:pPr>
        <w:shd w:val="clear" w:color="auto" w:fill="FFFFFF"/>
        <w:tabs>
          <w:tab w:val="left" w:pos="709"/>
        </w:tabs>
        <w:spacing w:line="360" w:lineRule="auto"/>
        <w:ind w:right="-284" w:firstLine="710"/>
        <w:jc w:val="both"/>
        <w:rPr>
          <w:rFonts w:ascii="Times New Roman" w:eastAsia="Times New Roman" w:hAnsi="Times New Roman" w:cs="Times New Roman"/>
          <w:sz w:val="26"/>
          <w:szCs w:val="26"/>
        </w:rPr>
      </w:pPr>
      <w:r w:rsidRPr="00D318AA">
        <w:rPr>
          <w:rFonts w:ascii="Times New Roman" w:eastAsia="Times New Roman" w:hAnsi="Times New Roman" w:cs="Times New Roman"/>
          <w:sz w:val="26"/>
          <w:szCs w:val="26"/>
        </w:rPr>
        <w:t xml:space="preserve">Проведение </w:t>
      </w:r>
      <w:proofErr w:type="spellStart"/>
      <w:r w:rsidRPr="00D318AA">
        <w:rPr>
          <w:rFonts w:ascii="Times New Roman" w:eastAsia="Times New Roman" w:hAnsi="Times New Roman" w:cs="Times New Roman"/>
          <w:sz w:val="26"/>
          <w:szCs w:val="26"/>
        </w:rPr>
        <w:t>секьюритизации</w:t>
      </w:r>
      <w:proofErr w:type="spellEnd"/>
      <w:r w:rsidRPr="00D318AA">
        <w:rPr>
          <w:rFonts w:ascii="Times New Roman" w:eastAsia="Times New Roman" w:hAnsi="Times New Roman" w:cs="Times New Roman"/>
          <w:sz w:val="26"/>
          <w:szCs w:val="26"/>
        </w:rPr>
        <w:t xml:space="preserve"> этих кредитов потребует значительных материальных и временных расходов банков, что имело бы экономический смы</w:t>
      </w:r>
      <w:proofErr w:type="gramStart"/>
      <w:r w:rsidRPr="00D318AA">
        <w:rPr>
          <w:rFonts w:ascii="Times New Roman" w:eastAsia="Times New Roman" w:hAnsi="Times New Roman" w:cs="Times New Roman"/>
          <w:sz w:val="26"/>
          <w:szCs w:val="26"/>
        </w:rPr>
        <w:t>сл в ст</w:t>
      </w:r>
      <w:proofErr w:type="gramEnd"/>
      <w:r w:rsidRPr="00D318AA">
        <w:rPr>
          <w:rFonts w:ascii="Times New Roman" w:eastAsia="Times New Roman" w:hAnsi="Times New Roman" w:cs="Times New Roman"/>
          <w:sz w:val="26"/>
          <w:szCs w:val="26"/>
        </w:rPr>
        <w:t>абильных условиях, а в текущем состоянии требуется высокая оперативность в получении средств.</w:t>
      </w:r>
    </w:p>
    <w:p w:rsidR="00495C29" w:rsidRPr="00D318AA" w:rsidRDefault="00495C29" w:rsidP="00495C29">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495C29" w:rsidRPr="00D318AA" w:rsidRDefault="00495C29" w:rsidP="00495C29">
      <w:pPr>
        <w:shd w:val="clear" w:color="auto" w:fill="FFFFFF"/>
        <w:tabs>
          <w:tab w:val="left" w:pos="1022"/>
        </w:tabs>
        <w:spacing w:line="360" w:lineRule="auto"/>
        <w:ind w:left="10" w:right="-284" w:firstLine="715"/>
        <w:jc w:val="both"/>
        <w:rPr>
          <w:rFonts w:ascii="Times New Roman" w:hAnsi="Times New Roman" w:cs="Times New Roman"/>
          <w:sz w:val="26"/>
          <w:szCs w:val="26"/>
        </w:rPr>
      </w:pPr>
      <w:r w:rsidRPr="00D318AA">
        <w:rPr>
          <w:rFonts w:ascii="Times New Roman" w:hAnsi="Times New Roman" w:cs="Times New Roman"/>
          <w:sz w:val="26"/>
          <w:szCs w:val="26"/>
        </w:rPr>
        <w:t xml:space="preserve">В </w:t>
      </w:r>
      <w:r w:rsidRPr="00D318AA">
        <w:rPr>
          <w:rFonts w:ascii="Times New Roman" w:eastAsia="Times New Roman" w:hAnsi="Times New Roman" w:cs="Times New Roman"/>
          <w:sz w:val="26"/>
          <w:szCs w:val="26"/>
        </w:rPr>
        <w:t xml:space="preserve">связи с невозможностью обеспечить надлежащую идентификацию предмета залога, которая требуется в соответствии со статьей 339 Гражданского кодекса </w:t>
      </w:r>
      <w:r w:rsidRPr="00D318AA">
        <w:rPr>
          <w:rFonts w:ascii="Times New Roman" w:eastAsia="Times New Roman" w:hAnsi="Times New Roman" w:cs="Times New Roman"/>
          <w:spacing w:val="-1"/>
          <w:sz w:val="26"/>
          <w:szCs w:val="26"/>
        </w:rPr>
        <w:t xml:space="preserve">Российской Федерации, портфели </w:t>
      </w:r>
      <w:proofErr w:type="spellStart"/>
      <w:r w:rsidRPr="00D318AA">
        <w:rPr>
          <w:rFonts w:ascii="Times New Roman" w:eastAsia="Times New Roman" w:hAnsi="Times New Roman" w:cs="Times New Roman"/>
          <w:spacing w:val="-1"/>
          <w:sz w:val="26"/>
          <w:szCs w:val="26"/>
        </w:rPr>
        <w:t>несекьюритизированных</w:t>
      </w:r>
      <w:proofErr w:type="spellEnd"/>
      <w:r w:rsidRPr="00D318AA">
        <w:rPr>
          <w:rFonts w:ascii="Times New Roman" w:eastAsia="Times New Roman" w:hAnsi="Times New Roman" w:cs="Times New Roman"/>
          <w:spacing w:val="-1"/>
          <w:sz w:val="26"/>
          <w:szCs w:val="26"/>
        </w:rPr>
        <w:t xml:space="preserve"> однородных ссуд в настоящее </w:t>
      </w:r>
      <w:r w:rsidRPr="00D318AA">
        <w:rPr>
          <w:rFonts w:ascii="Times New Roman" w:eastAsia="Times New Roman" w:hAnsi="Times New Roman" w:cs="Times New Roman"/>
          <w:sz w:val="26"/>
          <w:szCs w:val="26"/>
        </w:rPr>
        <w:t>время не могут быть приняты в обеспечение кредитов Банка России.</w:t>
      </w:r>
    </w:p>
    <w:p w:rsidR="00495C29" w:rsidRPr="00D318AA" w:rsidRDefault="00495C29" w:rsidP="00495C29">
      <w:pPr>
        <w:shd w:val="clear" w:color="auto" w:fill="FFFFFF"/>
        <w:spacing w:line="360" w:lineRule="auto"/>
        <w:ind w:left="14" w:right="-284" w:firstLine="710"/>
        <w:jc w:val="both"/>
        <w:rPr>
          <w:rFonts w:ascii="Times New Roman" w:hAnsi="Times New Roman" w:cs="Times New Roman"/>
          <w:sz w:val="26"/>
          <w:szCs w:val="26"/>
        </w:rPr>
      </w:pPr>
      <w:r w:rsidRPr="00D318AA">
        <w:rPr>
          <w:rFonts w:ascii="Times New Roman" w:eastAsia="Times New Roman" w:hAnsi="Times New Roman" w:cs="Times New Roman"/>
          <w:sz w:val="26"/>
          <w:szCs w:val="26"/>
        </w:rPr>
        <w:lastRenderedPageBreak/>
        <w:t xml:space="preserve">Дальнейшее совершенствование системы рефинансирования Банка России, целесообразно развивать по пути </w:t>
      </w:r>
      <w:proofErr w:type="spellStart"/>
      <w:r w:rsidRPr="00D318AA">
        <w:rPr>
          <w:rFonts w:ascii="Times New Roman" w:eastAsia="Times New Roman" w:hAnsi="Times New Roman" w:cs="Times New Roman"/>
          <w:sz w:val="26"/>
          <w:szCs w:val="26"/>
        </w:rPr>
        <w:t>секьюритизации</w:t>
      </w:r>
      <w:proofErr w:type="spellEnd"/>
      <w:r w:rsidRPr="00D318AA">
        <w:rPr>
          <w:rFonts w:ascii="Times New Roman" w:eastAsia="Times New Roman" w:hAnsi="Times New Roman" w:cs="Times New Roman"/>
          <w:sz w:val="26"/>
          <w:szCs w:val="26"/>
        </w:rPr>
        <w:t xml:space="preserve"> кредитными организациями соответствующих портфелей кредитов в соответствии с Федеральным законом от 21.12.2013 № 379-ФЗ «О внесении изменений в отдельные законодательные акты Российской Федерации» в целях дальнейшего использования соответствующих ценных бумаг в качестве обеспечения по кредитам Банка России.</w:t>
      </w:r>
    </w:p>
    <w:p w:rsidR="00495C29" w:rsidRPr="00D318AA" w:rsidRDefault="00495C29" w:rsidP="00495C29">
      <w:pPr>
        <w:shd w:val="clear" w:color="auto" w:fill="FFFFFF"/>
        <w:spacing w:line="360" w:lineRule="auto"/>
        <w:ind w:left="19" w:right="-284" w:firstLine="715"/>
        <w:jc w:val="both"/>
        <w:rPr>
          <w:rFonts w:ascii="Times New Roman" w:hAnsi="Times New Roman" w:cs="Times New Roman"/>
          <w:sz w:val="26"/>
          <w:szCs w:val="26"/>
        </w:rPr>
      </w:pPr>
      <w:r w:rsidRPr="00D318AA">
        <w:rPr>
          <w:rFonts w:ascii="Times New Roman" w:eastAsia="Times New Roman" w:hAnsi="Times New Roman" w:cs="Times New Roman"/>
          <w:sz w:val="26"/>
          <w:szCs w:val="26"/>
        </w:rPr>
        <w:t>Кроме того, в настоящее время в Банке России разрабатывается порядок включения прав требований по обязательствам субъектов малого предпринимательства, обеспеченных гарантиями акционерного общества «Небанковская депозитно-кредитная организация «Агентство кредитных гарантий», в состав активов, принимаемых в обеспечение кредитов Банка России. Указанный порядок существенно расширит возможности кредитных организаций по рефинансированию в Банке России кредитов, предоставленных субъектам малого предпринимательства.</w:t>
      </w:r>
    </w:p>
    <w:p w:rsidR="00495C29" w:rsidRDefault="00495C29" w:rsidP="00495C29">
      <w:pPr>
        <w:shd w:val="clear" w:color="auto" w:fill="FFFFFF"/>
        <w:tabs>
          <w:tab w:val="left" w:pos="926"/>
        </w:tabs>
        <w:spacing w:line="360" w:lineRule="auto"/>
        <w:ind w:left="29" w:right="-284" w:firstLine="720"/>
        <w:jc w:val="both"/>
        <w:rPr>
          <w:rFonts w:ascii="Times New Roman" w:eastAsia="Times New Roman" w:hAnsi="Times New Roman" w:cs="Times New Roman"/>
          <w:sz w:val="26"/>
          <w:szCs w:val="26"/>
        </w:rPr>
      </w:pPr>
      <w:r w:rsidRPr="00D318AA">
        <w:rPr>
          <w:rFonts w:ascii="Times New Roman" w:hAnsi="Times New Roman" w:cs="Times New Roman"/>
          <w:sz w:val="26"/>
          <w:szCs w:val="26"/>
        </w:rPr>
        <w:t xml:space="preserve">9 </w:t>
      </w:r>
      <w:r w:rsidRPr="00D318AA">
        <w:rPr>
          <w:rFonts w:ascii="Times New Roman" w:eastAsia="Times New Roman" w:hAnsi="Times New Roman" w:cs="Times New Roman"/>
          <w:spacing w:val="-1"/>
          <w:sz w:val="26"/>
          <w:szCs w:val="26"/>
        </w:rPr>
        <w:t xml:space="preserve">декабря 2014 года Банком России принято решение о создании нового механизма </w:t>
      </w:r>
      <w:r w:rsidRPr="00D318AA">
        <w:rPr>
          <w:rFonts w:ascii="Times New Roman" w:eastAsia="Times New Roman" w:hAnsi="Times New Roman" w:cs="Times New Roman"/>
          <w:sz w:val="26"/>
          <w:szCs w:val="26"/>
        </w:rPr>
        <w:t xml:space="preserve">рефинансирования - кредитов Банка России, обеспеченных закладными, выданными в </w:t>
      </w:r>
      <w:r w:rsidRPr="00D318AA">
        <w:rPr>
          <w:rFonts w:ascii="Times New Roman" w:eastAsia="Times New Roman" w:hAnsi="Times New Roman" w:cs="Times New Roman"/>
          <w:spacing w:val="-1"/>
          <w:sz w:val="26"/>
          <w:szCs w:val="26"/>
        </w:rPr>
        <w:t xml:space="preserve">рамках программы «Военная ипотека». Максимальный срок кредитов Банка России, </w:t>
      </w:r>
      <w:r w:rsidRPr="00D318AA">
        <w:rPr>
          <w:rFonts w:ascii="Times New Roman" w:eastAsia="Times New Roman" w:hAnsi="Times New Roman" w:cs="Times New Roman"/>
          <w:sz w:val="26"/>
          <w:szCs w:val="26"/>
        </w:rPr>
        <w:t xml:space="preserve">обеспеченных закладными, составляет 3 года (1095 календарных дней). </w:t>
      </w:r>
      <w:proofErr w:type="gramStart"/>
      <w:r w:rsidRPr="00D318AA">
        <w:rPr>
          <w:rFonts w:ascii="Times New Roman" w:eastAsia="Times New Roman" w:hAnsi="Times New Roman" w:cs="Times New Roman"/>
          <w:sz w:val="26"/>
          <w:szCs w:val="26"/>
        </w:rPr>
        <w:t>Процентная ставка по данному виду кредитов Банка России на срок от 1 до 90 календарных дней является фиксированной и устанавливается в размере ключевой ставки Банка России на дату предоставления кредита, увеличенной на 0,25 процентного пункта, процентная ставка на срок от 91 до 1095 календарных дней - плавающая, устанавливается в размере ключевой ставки Банка России, увеличенной на 0,25 процентного пункта.</w:t>
      </w:r>
      <w:proofErr w:type="gramEnd"/>
    </w:p>
    <w:p w:rsidR="00FA49C1" w:rsidRDefault="00FA49C1" w:rsidP="00495C29">
      <w:pPr>
        <w:shd w:val="clear" w:color="auto" w:fill="FFFFFF"/>
        <w:tabs>
          <w:tab w:val="left" w:pos="926"/>
        </w:tabs>
        <w:spacing w:line="360" w:lineRule="auto"/>
        <w:ind w:left="29" w:right="-284" w:firstLine="720"/>
        <w:jc w:val="both"/>
        <w:rPr>
          <w:rFonts w:ascii="Times New Roman" w:hAnsi="Times New Roman" w:cs="Times New Roman"/>
          <w:sz w:val="26"/>
          <w:szCs w:val="26"/>
        </w:rPr>
      </w:pPr>
    </w:p>
    <w:p w:rsidR="00DC02E4" w:rsidRDefault="00DC02E4" w:rsidP="00DC02E4">
      <w:pPr>
        <w:spacing w:after="0" w:line="360" w:lineRule="auto"/>
        <w:ind w:firstLine="601"/>
        <w:jc w:val="both"/>
        <w:rPr>
          <w:rFonts w:ascii="Times New Roman" w:eastAsia="Times New Roman" w:hAnsi="Times New Roman" w:cs="Times New Roman"/>
          <w:b/>
          <w:sz w:val="26"/>
          <w:szCs w:val="26"/>
        </w:rPr>
      </w:pPr>
      <w:r w:rsidRPr="00DC02E4">
        <w:rPr>
          <w:rFonts w:ascii="Times New Roman" w:eastAsia="Times New Roman" w:hAnsi="Times New Roman" w:cs="Times New Roman"/>
          <w:b/>
          <w:sz w:val="26"/>
          <w:szCs w:val="26"/>
        </w:rPr>
        <w:t>На предложение о предоставлении рефинансирования банкам 3 классификационной группы Банк России сообщ</w:t>
      </w:r>
      <w:r>
        <w:rPr>
          <w:rFonts w:ascii="Times New Roman" w:eastAsia="Times New Roman" w:hAnsi="Times New Roman" w:cs="Times New Roman"/>
          <w:b/>
          <w:sz w:val="26"/>
          <w:szCs w:val="26"/>
        </w:rPr>
        <w:t>ил</w:t>
      </w:r>
      <w:r w:rsidRPr="00DC02E4">
        <w:rPr>
          <w:rFonts w:ascii="Times New Roman" w:eastAsia="Times New Roman" w:hAnsi="Times New Roman" w:cs="Times New Roman"/>
          <w:b/>
          <w:sz w:val="26"/>
          <w:szCs w:val="26"/>
        </w:rPr>
        <w:t xml:space="preserve"> в письме №03-35/858 от 03.02.2015</w:t>
      </w:r>
      <w:r>
        <w:rPr>
          <w:rFonts w:ascii="Times New Roman" w:eastAsia="Times New Roman" w:hAnsi="Times New Roman" w:cs="Times New Roman"/>
          <w:b/>
          <w:sz w:val="26"/>
          <w:szCs w:val="26"/>
        </w:rPr>
        <w:t>, что:</w:t>
      </w:r>
    </w:p>
    <w:p w:rsidR="00DC02E4" w:rsidRPr="00DC02E4" w:rsidRDefault="00DC02E4" w:rsidP="00DC02E4">
      <w:pPr>
        <w:shd w:val="clear" w:color="auto" w:fill="FFFFFF"/>
        <w:tabs>
          <w:tab w:val="left" w:pos="709"/>
        </w:tabs>
        <w:spacing w:line="360" w:lineRule="auto"/>
        <w:ind w:right="-284" w:firstLine="710"/>
        <w:jc w:val="both"/>
        <w:rPr>
          <w:rFonts w:ascii="Times New Roman" w:eastAsia="Times New Roman" w:hAnsi="Times New Roman" w:cs="Times New Roman"/>
          <w:sz w:val="26"/>
          <w:szCs w:val="26"/>
        </w:rPr>
      </w:pPr>
      <w:r w:rsidRPr="00DC02E4">
        <w:rPr>
          <w:rFonts w:ascii="Times New Roman" w:eastAsia="Times New Roman" w:hAnsi="Times New Roman" w:cs="Times New Roman"/>
          <w:sz w:val="26"/>
          <w:szCs w:val="26"/>
        </w:rPr>
        <w:t xml:space="preserve">В нормативные акты Банка России, регламентирующие порядок предоставления обеспеченных кредитов Банка России, были внесены изменения, </w:t>
      </w:r>
      <w:r w:rsidRPr="00DC02E4">
        <w:rPr>
          <w:rFonts w:ascii="Times New Roman" w:eastAsia="Times New Roman" w:hAnsi="Times New Roman" w:cs="Times New Roman"/>
          <w:sz w:val="26"/>
          <w:szCs w:val="26"/>
        </w:rPr>
        <w:lastRenderedPageBreak/>
        <w:t>предусматривающие возможность предоставления обеспеченных кредитов Банка России кредитным организациям, отнесенным к 3 классификационной группе.</w:t>
      </w:r>
    </w:p>
    <w:p w:rsidR="00DC02E4" w:rsidRPr="00D318AA" w:rsidRDefault="00DC02E4" w:rsidP="00495C29">
      <w:pPr>
        <w:shd w:val="clear" w:color="auto" w:fill="FFFFFF"/>
        <w:tabs>
          <w:tab w:val="left" w:pos="926"/>
        </w:tabs>
        <w:spacing w:line="360" w:lineRule="auto"/>
        <w:ind w:left="29" w:right="-284" w:firstLine="720"/>
        <w:jc w:val="both"/>
        <w:rPr>
          <w:rFonts w:ascii="Times New Roman" w:hAnsi="Times New Roman" w:cs="Times New Roman"/>
          <w:sz w:val="26"/>
          <w:szCs w:val="26"/>
        </w:rPr>
      </w:pPr>
    </w:p>
    <w:p w:rsidR="00495C29" w:rsidRDefault="00495C29" w:rsidP="00495C29">
      <w:pPr>
        <w:shd w:val="clear" w:color="auto" w:fill="FFFFFF"/>
        <w:tabs>
          <w:tab w:val="left" w:pos="709"/>
          <w:tab w:val="left" w:pos="1051"/>
          <w:tab w:val="left" w:pos="1853"/>
          <w:tab w:val="left" w:pos="3062"/>
          <w:tab w:val="left" w:pos="3547"/>
          <w:tab w:val="left" w:pos="4886"/>
          <w:tab w:val="left" w:pos="5995"/>
          <w:tab w:val="left" w:pos="7190"/>
          <w:tab w:val="left" w:pos="9197"/>
        </w:tabs>
        <w:spacing w:line="360" w:lineRule="auto"/>
        <w:ind w:right="-284" w:firstLine="710"/>
        <w:jc w:val="both"/>
        <w:rPr>
          <w:rFonts w:ascii="Times New Roman" w:eastAsia="Times New Roman" w:hAnsi="Times New Roman" w:cs="Times New Roman"/>
          <w:sz w:val="26"/>
          <w:szCs w:val="26"/>
        </w:rPr>
      </w:pPr>
      <w:r w:rsidRPr="00D318AA">
        <w:rPr>
          <w:rFonts w:ascii="Times New Roman" w:hAnsi="Times New Roman" w:cs="Times New Roman"/>
          <w:b/>
          <w:sz w:val="26"/>
          <w:szCs w:val="26"/>
        </w:rPr>
        <w:t xml:space="preserve">Предложение </w:t>
      </w:r>
      <w:r>
        <w:rPr>
          <w:rFonts w:ascii="Times New Roman" w:hAnsi="Times New Roman" w:cs="Times New Roman"/>
          <w:b/>
          <w:sz w:val="26"/>
          <w:szCs w:val="26"/>
        </w:rPr>
        <w:t>2</w:t>
      </w:r>
      <w:r w:rsidRPr="00D318AA">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eastAsia="Times New Roman" w:hAnsi="Times New Roman" w:cs="Times New Roman"/>
          <w:sz w:val="26"/>
          <w:szCs w:val="26"/>
        </w:rPr>
        <w:t>Р</w:t>
      </w:r>
      <w:r w:rsidRPr="00D318AA">
        <w:rPr>
          <w:rFonts w:ascii="Times New Roman" w:eastAsia="Times New Roman" w:hAnsi="Times New Roman" w:cs="Times New Roman"/>
          <w:sz w:val="26"/>
          <w:szCs w:val="26"/>
        </w:rPr>
        <w:t xml:space="preserve">ефинансирование валютных кредитов в валюте, что будет способствовать </w:t>
      </w:r>
      <w:r w:rsidRPr="00D318AA">
        <w:rPr>
          <w:rFonts w:ascii="Times New Roman" w:eastAsia="Times New Roman" w:hAnsi="Times New Roman" w:cs="Times New Roman"/>
          <w:spacing w:val="-2"/>
          <w:sz w:val="26"/>
          <w:szCs w:val="26"/>
        </w:rPr>
        <w:t>балансировке</w:t>
      </w:r>
      <w:r w:rsidRPr="00D318AA">
        <w:rPr>
          <w:rFonts w:ascii="Times New Roman" w:eastAsia="Times New Roman" w:hAnsi="Times New Roman" w:cs="Times New Roman"/>
          <w:sz w:val="26"/>
          <w:szCs w:val="26"/>
        </w:rPr>
        <w:t xml:space="preserve"> </w:t>
      </w:r>
      <w:r w:rsidRPr="00D318AA">
        <w:rPr>
          <w:rFonts w:ascii="Times New Roman" w:eastAsia="Times New Roman" w:hAnsi="Times New Roman" w:cs="Times New Roman"/>
          <w:spacing w:val="-2"/>
          <w:sz w:val="26"/>
          <w:szCs w:val="26"/>
        </w:rPr>
        <w:t>активов</w:t>
      </w:r>
      <w:r w:rsidRPr="00D318AA">
        <w:rPr>
          <w:rFonts w:ascii="Times New Roman" w:eastAsia="Times New Roman" w:hAnsi="Times New Roman" w:cs="Times New Roman"/>
          <w:sz w:val="26"/>
          <w:szCs w:val="26"/>
        </w:rPr>
        <w:t xml:space="preserve"> и </w:t>
      </w:r>
      <w:r w:rsidRPr="00D318AA">
        <w:rPr>
          <w:rFonts w:ascii="Times New Roman" w:eastAsia="Times New Roman" w:hAnsi="Times New Roman" w:cs="Times New Roman"/>
          <w:spacing w:val="-2"/>
          <w:sz w:val="26"/>
          <w:szCs w:val="26"/>
        </w:rPr>
        <w:t>пассивов</w:t>
      </w:r>
      <w:r w:rsidRPr="00D318AA">
        <w:rPr>
          <w:rFonts w:ascii="Times New Roman" w:eastAsia="Times New Roman" w:hAnsi="Times New Roman" w:cs="Times New Roman"/>
          <w:sz w:val="26"/>
          <w:szCs w:val="26"/>
        </w:rPr>
        <w:t xml:space="preserve"> </w:t>
      </w:r>
      <w:r w:rsidRPr="00D318AA">
        <w:rPr>
          <w:rFonts w:ascii="Times New Roman" w:eastAsia="Times New Roman" w:hAnsi="Times New Roman" w:cs="Times New Roman"/>
          <w:spacing w:val="-2"/>
          <w:sz w:val="26"/>
          <w:szCs w:val="26"/>
        </w:rPr>
        <w:t>банков</w:t>
      </w:r>
      <w:r w:rsidRPr="00D318AA">
        <w:rPr>
          <w:rFonts w:ascii="Times New Roman" w:eastAsia="Times New Roman" w:hAnsi="Times New Roman" w:cs="Times New Roman"/>
          <w:sz w:val="26"/>
          <w:szCs w:val="26"/>
        </w:rPr>
        <w:t xml:space="preserve"> в </w:t>
      </w:r>
      <w:r w:rsidRPr="00D318AA">
        <w:rPr>
          <w:rFonts w:ascii="Times New Roman" w:eastAsia="Times New Roman" w:hAnsi="Times New Roman" w:cs="Times New Roman"/>
          <w:spacing w:val="-2"/>
          <w:sz w:val="26"/>
          <w:szCs w:val="26"/>
        </w:rPr>
        <w:t xml:space="preserve">валюте, стимулировать кредитование </w:t>
      </w:r>
      <w:r w:rsidRPr="00D318AA">
        <w:rPr>
          <w:rFonts w:ascii="Times New Roman" w:eastAsia="Times New Roman" w:hAnsi="Times New Roman" w:cs="Times New Roman"/>
          <w:sz w:val="26"/>
          <w:szCs w:val="26"/>
        </w:rPr>
        <w:t xml:space="preserve">соответствующих требованиям 312-П предприятий в валюте (в случае наличия у них потребности в </w:t>
      </w:r>
      <w:proofErr w:type="spellStart"/>
      <w:r w:rsidRPr="00D318AA">
        <w:rPr>
          <w:rFonts w:ascii="Times New Roman" w:eastAsia="Times New Roman" w:hAnsi="Times New Roman" w:cs="Times New Roman"/>
          <w:sz w:val="26"/>
          <w:szCs w:val="26"/>
        </w:rPr>
        <w:t>перекредитовке</w:t>
      </w:r>
      <w:proofErr w:type="spellEnd"/>
      <w:r w:rsidRPr="00D318AA">
        <w:rPr>
          <w:rFonts w:ascii="Times New Roman" w:eastAsia="Times New Roman" w:hAnsi="Times New Roman" w:cs="Times New Roman"/>
          <w:sz w:val="26"/>
          <w:szCs w:val="26"/>
        </w:rPr>
        <w:t xml:space="preserve"> зарубежных заимствований).</w:t>
      </w:r>
    </w:p>
    <w:p w:rsidR="00495C29" w:rsidRDefault="00495C29" w:rsidP="00495C29">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495C29" w:rsidRDefault="00495C29" w:rsidP="00495C29">
      <w:pPr>
        <w:shd w:val="clear" w:color="auto" w:fill="FFFFFF"/>
        <w:spacing w:line="360" w:lineRule="auto"/>
        <w:ind w:left="38" w:right="-284" w:firstLine="710"/>
        <w:jc w:val="both"/>
        <w:rPr>
          <w:rFonts w:ascii="Times New Roman" w:eastAsia="Times New Roman" w:hAnsi="Times New Roman" w:cs="Times New Roman"/>
          <w:sz w:val="26"/>
          <w:szCs w:val="26"/>
        </w:rPr>
      </w:pPr>
      <w:proofErr w:type="gramStart"/>
      <w:r w:rsidRPr="00D318AA">
        <w:rPr>
          <w:rFonts w:ascii="Times New Roman" w:eastAsia="Times New Roman" w:hAnsi="Times New Roman" w:cs="Times New Roman"/>
          <w:sz w:val="26"/>
          <w:szCs w:val="26"/>
        </w:rPr>
        <w:t>В целях расширения возможностей кредитных организаций по управлению собственной валютной ликвидностью, а также по рефинансированию внешних кредитов российских организаций-экспортеров в иностранной валюте, Совет директоров Банка России 23 декабря 2014 года принял решение о создании временного механизма (до 1 января 2018 года) предоставления кредитов Банка России в иностранной валюте, обеспеченных залогом прав требования по кредитам в иностранной валюте.</w:t>
      </w:r>
      <w:proofErr w:type="gramEnd"/>
      <w:r w:rsidRPr="00D318AA">
        <w:rPr>
          <w:rFonts w:ascii="Times New Roman" w:eastAsia="Times New Roman" w:hAnsi="Times New Roman" w:cs="Times New Roman"/>
          <w:sz w:val="26"/>
          <w:szCs w:val="26"/>
        </w:rPr>
        <w:t xml:space="preserve"> Доступ к </w:t>
      </w:r>
      <w:r w:rsidRPr="00D318AA">
        <w:rPr>
          <w:rFonts w:ascii="Times New Roman" w:eastAsia="Times New Roman" w:hAnsi="Times New Roman" w:cs="Times New Roman"/>
          <w:spacing w:val="-1"/>
          <w:sz w:val="26"/>
          <w:szCs w:val="26"/>
        </w:rPr>
        <w:t xml:space="preserve">указанным операциям будут иметь кредитные организации, капитал (собственные </w:t>
      </w:r>
      <w:r w:rsidRPr="00D318AA">
        <w:rPr>
          <w:rFonts w:ascii="Times New Roman" w:eastAsia="Times New Roman" w:hAnsi="Times New Roman" w:cs="Times New Roman"/>
          <w:sz w:val="26"/>
          <w:szCs w:val="26"/>
        </w:rPr>
        <w:t>средства) которых по состоянию на 1 декабря 2014 года составлял не менее 100 млрд. рублей.</w:t>
      </w:r>
    </w:p>
    <w:p w:rsidR="00FA49C1" w:rsidRPr="00D318AA" w:rsidRDefault="00FA49C1" w:rsidP="00495C29">
      <w:pPr>
        <w:shd w:val="clear" w:color="auto" w:fill="FFFFFF"/>
        <w:spacing w:line="360" w:lineRule="auto"/>
        <w:ind w:left="38" w:right="-284" w:firstLine="710"/>
        <w:jc w:val="both"/>
        <w:rPr>
          <w:rFonts w:ascii="Times New Roman" w:hAnsi="Times New Roman" w:cs="Times New Roman"/>
          <w:sz w:val="26"/>
          <w:szCs w:val="26"/>
        </w:rPr>
      </w:pPr>
    </w:p>
    <w:p w:rsidR="00495C29" w:rsidRDefault="00495C29" w:rsidP="00495C29">
      <w:pPr>
        <w:shd w:val="clear" w:color="auto" w:fill="FFFFFF"/>
        <w:tabs>
          <w:tab w:val="left" w:pos="709"/>
          <w:tab w:val="left" w:pos="883"/>
        </w:tabs>
        <w:spacing w:line="360" w:lineRule="auto"/>
        <w:ind w:right="-284" w:firstLine="710"/>
        <w:jc w:val="both"/>
        <w:rPr>
          <w:rFonts w:ascii="Times New Roman" w:eastAsia="Times New Roman" w:hAnsi="Times New Roman" w:cs="Times New Roman"/>
          <w:sz w:val="26"/>
          <w:szCs w:val="26"/>
        </w:rPr>
      </w:pPr>
      <w:r w:rsidRPr="00D318AA">
        <w:rPr>
          <w:rFonts w:ascii="Times New Roman" w:hAnsi="Times New Roman" w:cs="Times New Roman"/>
          <w:b/>
          <w:sz w:val="26"/>
          <w:szCs w:val="26"/>
        </w:rPr>
        <w:t xml:space="preserve">Предложение </w:t>
      </w:r>
      <w:r>
        <w:rPr>
          <w:rFonts w:ascii="Times New Roman" w:hAnsi="Times New Roman" w:cs="Times New Roman"/>
          <w:b/>
          <w:sz w:val="26"/>
          <w:szCs w:val="26"/>
        </w:rPr>
        <w:t>3</w:t>
      </w:r>
      <w:r w:rsidRPr="00D318AA">
        <w:rPr>
          <w:rFonts w:ascii="Times New Roman" w:hAnsi="Times New Roman" w:cs="Times New Roman"/>
          <w:b/>
          <w:sz w:val="26"/>
          <w:szCs w:val="26"/>
        </w:rPr>
        <w:t>.</w:t>
      </w:r>
      <w:r w:rsidRPr="00D318AA">
        <w:rPr>
          <w:rFonts w:ascii="Times New Roman" w:hAnsi="Times New Roman" w:cs="Times New Roman"/>
          <w:sz w:val="26"/>
          <w:szCs w:val="26"/>
        </w:rPr>
        <w:t xml:space="preserve"> </w:t>
      </w:r>
      <w:r>
        <w:rPr>
          <w:rFonts w:ascii="Times New Roman" w:eastAsia="Times New Roman" w:hAnsi="Times New Roman" w:cs="Times New Roman"/>
          <w:sz w:val="26"/>
          <w:szCs w:val="26"/>
        </w:rPr>
        <w:t>З</w:t>
      </w:r>
      <w:r w:rsidRPr="00D318AA">
        <w:rPr>
          <w:rFonts w:ascii="Times New Roman" w:eastAsia="Times New Roman" w:hAnsi="Times New Roman" w:cs="Times New Roman"/>
          <w:sz w:val="26"/>
          <w:szCs w:val="26"/>
        </w:rPr>
        <w:t xml:space="preserve">апуск механизма рефинансирования Банком России под обеспечение прав требования по кредитам на финансирование инвестиционных проектов. </w:t>
      </w:r>
      <w:proofErr w:type="gramStart"/>
      <w:r w:rsidRPr="00D318AA">
        <w:rPr>
          <w:rFonts w:ascii="Times New Roman" w:eastAsia="Times New Roman" w:hAnsi="Times New Roman" w:cs="Times New Roman"/>
          <w:sz w:val="26"/>
          <w:szCs w:val="26"/>
        </w:rPr>
        <w:t>Ассоциацией неоднократно обращалось внимание Банка России на то, что порядок предоставления рефинансирования резко ограничивает круг кредитных организаций, имеющих к нему доступ, крупнейшими кредитными учреждениями, собственный капитал которых составляет более 100 млрд. руб. По мнению Ассоциации «Россия», более адекватным целям стимулирования экономического развития и снижения систематических рисков мог бы быть порядок отбора банков, основанный, помимо надежности банка в соответствии с профессиональным</w:t>
      </w:r>
      <w:proofErr w:type="gramEnd"/>
      <w:r w:rsidRPr="00D318AA">
        <w:rPr>
          <w:rFonts w:ascii="Times New Roman" w:eastAsia="Times New Roman" w:hAnsi="Times New Roman" w:cs="Times New Roman"/>
          <w:sz w:val="26"/>
          <w:szCs w:val="26"/>
        </w:rPr>
        <w:t xml:space="preserve"> суждением надзорного блока Банка России, на выполнении следующих критериев: принадлежность банка к перечню системно-значимых кредитных организаций; </w:t>
      </w:r>
      <w:r w:rsidRPr="00D318AA">
        <w:rPr>
          <w:rFonts w:ascii="Times New Roman" w:eastAsia="Times New Roman" w:hAnsi="Times New Roman" w:cs="Times New Roman"/>
          <w:sz w:val="26"/>
          <w:szCs w:val="26"/>
        </w:rPr>
        <w:lastRenderedPageBreak/>
        <w:t xml:space="preserve">принадлежность к списку 20 ведущих </w:t>
      </w:r>
      <w:r w:rsidRPr="00D318AA">
        <w:rPr>
          <w:rFonts w:ascii="Times New Roman" w:eastAsia="Times New Roman" w:hAnsi="Times New Roman" w:cs="Times New Roman"/>
          <w:spacing w:val="-1"/>
          <w:sz w:val="26"/>
          <w:szCs w:val="26"/>
        </w:rPr>
        <w:t xml:space="preserve">банков по объему долгосрочного кредитования корпоративного сектора (кредиты юридическим </w:t>
      </w:r>
      <w:r w:rsidRPr="00D318AA">
        <w:rPr>
          <w:rFonts w:ascii="Times New Roman" w:eastAsia="Times New Roman" w:hAnsi="Times New Roman" w:cs="Times New Roman"/>
          <w:sz w:val="26"/>
          <w:szCs w:val="26"/>
        </w:rPr>
        <w:t>лицам свыше 3 лет); наличие опыта работы и необходимых механизмов для проведения экспертизы инвестиционных проектов. Кроме того, необходимо увеличить срок рефинансирования (сейчас максимум – 3 года), поскольку анализ инвестиционных проектов показывает, что минимальный срок кредитования, исходя из периода окупаемости проектов, составляет 5-7 лет, а банки не готовы нести процентный риск при рефинансировании кредитов по окончании трехлетнего срока.</w:t>
      </w:r>
    </w:p>
    <w:p w:rsidR="00495C29" w:rsidRDefault="00495C29" w:rsidP="00495C29">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495C29" w:rsidRPr="00D318AA" w:rsidRDefault="00495C29" w:rsidP="00495C29">
      <w:pPr>
        <w:shd w:val="clear" w:color="auto" w:fill="FFFFFF"/>
        <w:spacing w:line="360" w:lineRule="auto"/>
        <w:ind w:left="10" w:right="-284" w:firstLine="710"/>
        <w:jc w:val="both"/>
        <w:rPr>
          <w:rFonts w:ascii="Times New Roman" w:hAnsi="Times New Roman" w:cs="Times New Roman"/>
          <w:sz w:val="26"/>
          <w:szCs w:val="26"/>
        </w:rPr>
      </w:pPr>
      <w:proofErr w:type="gramStart"/>
      <w:r w:rsidRPr="00D318AA">
        <w:rPr>
          <w:rFonts w:ascii="Times New Roman" w:eastAsia="Times New Roman" w:hAnsi="Times New Roman" w:cs="Times New Roman"/>
          <w:sz w:val="26"/>
          <w:szCs w:val="26"/>
        </w:rPr>
        <w:t xml:space="preserve">В настоящее время Банк России осуществляет операции предоставления кредитным организациям кредитов, обеспеченных залогом прав требования по </w:t>
      </w:r>
      <w:r w:rsidRPr="00D318AA">
        <w:rPr>
          <w:rFonts w:ascii="Times New Roman" w:eastAsia="Times New Roman" w:hAnsi="Times New Roman" w:cs="Times New Roman"/>
          <w:spacing w:val="-1"/>
          <w:sz w:val="26"/>
          <w:szCs w:val="26"/>
        </w:rPr>
        <w:t xml:space="preserve">привлекаемым на осуществление инвестиционных проектов, отобранных в соответствии с </w:t>
      </w:r>
      <w:r w:rsidRPr="00D318AA">
        <w:rPr>
          <w:rFonts w:ascii="Times New Roman" w:eastAsia="Times New Roman" w:hAnsi="Times New Roman" w:cs="Times New Roman"/>
          <w:sz w:val="26"/>
          <w:szCs w:val="26"/>
        </w:rPr>
        <w:t>правилами, утвержденными Правительством Российской Федерации, кредитам, исполнение обязательств по которым обеспечено государственными гарантиями Российской Федерации, а также кредитов, обеспеченных залогом облигаций, размещенных в целях финансирования инвестиционных проектов.</w:t>
      </w:r>
      <w:proofErr w:type="gramEnd"/>
    </w:p>
    <w:p w:rsidR="00495C29" w:rsidRPr="00D318AA" w:rsidRDefault="00495C29" w:rsidP="00495C29">
      <w:pPr>
        <w:shd w:val="clear" w:color="auto" w:fill="FFFFFF"/>
        <w:spacing w:line="360" w:lineRule="auto"/>
        <w:ind w:left="19" w:right="-284" w:firstLine="710"/>
        <w:jc w:val="both"/>
        <w:rPr>
          <w:rFonts w:ascii="Times New Roman" w:hAnsi="Times New Roman" w:cs="Times New Roman"/>
          <w:sz w:val="26"/>
          <w:szCs w:val="26"/>
        </w:rPr>
      </w:pPr>
      <w:r w:rsidRPr="00D318AA">
        <w:rPr>
          <w:rFonts w:ascii="Times New Roman" w:eastAsia="Times New Roman" w:hAnsi="Times New Roman" w:cs="Times New Roman"/>
          <w:sz w:val="26"/>
          <w:szCs w:val="26"/>
        </w:rPr>
        <w:t>В соответствии с решением Совета директоров Банка России к вышеуказанным операциям допущены кредитные организации, размер собственных средств (капитал) которых превышает 50 млрд. рублей, а также государственная корпорация «Банк развития и внешнеэкономической деятельности (Внешэкономбанк)».</w:t>
      </w:r>
    </w:p>
    <w:p w:rsidR="00495C29" w:rsidRDefault="00495C29" w:rsidP="00495C29">
      <w:pPr>
        <w:shd w:val="clear" w:color="auto" w:fill="FFFFFF"/>
        <w:spacing w:line="360" w:lineRule="auto"/>
        <w:ind w:left="29" w:right="-284" w:firstLine="710"/>
        <w:jc w:val="both"/>
        <w:rPr>
          <w:rFonts w:ascii="Times New Roman" w:eastAsia="Times New Roman" w:hAnsi="Times New Roman" w:cs="Times New Roman"/>
          <w:sz w:val="26"/>
          <w:szCs w:val="26"/>
        </w:rPr>
      </w:pPr>
      <w:r w:rsidRPr="00D318AA">
        <w:rPr>
          <w:rFonts w:ascii="Times New Roman" w:eastAsia="Times New Roman" w:hAnsi="Times New Roman" w:cs="Times New Roman"/>
          <w:sz w:val="26"/>
          <w:szCs w:val="26"/>
        </w:rPr>
        <w:t>Кредиты, предоставленные на реализацию инвестиционных проектов, а также на цели строительства инфраструктурных объектов, не относящиеся к выше указанной категории, могут быть рефинансированы в Банке России в соответствии с Положением Банка России № 312-П при соблюдении установленных Банком России требований к кредитной организации и кредитному требованию.</w:t>
      </w:r>
    </w:p>
    <w:p w:rsidR="00FA49C1" w:rsidRPr="00D318AA" w:rsidRDefault="00FA49C1" w:rsidP="00495C29">
      <w:pPr>
        <w:shd w:val="clear" w:color="auto" w:fill="FFFFFF"/>
        <w:spacing w:line="360" w:lineRule="auto"/>
        <w:ind w:left="29" w:right="-284" w:firstLine="710"/>
        <w:jc w:val="both"/>
        <w:rPr>
          <w:rFonts w:ascii="Times New Roman" w:hAnsi="Times New Roman" w:cs="Times New Roman"/>
          <w:sz w:val="26"/>
          <w:szCs w:val="26"/>
        </w:rPr>
      </w:pPr>
    </w:p>
    <w:p w:rsidR="00495C29" w:rsidRPr="00D318AA" w:rsidRDefault="00495C29" w:rsidP="00495C29">
      <w:pPr>
        <w:shd w:val="clear" w:color="auto" w:fill="FFFFFF"/>
        <w:tabs>
          <w:tab w:val="left" w:pos="709"/>
          <w:tab w:val="left" w:pos="931"/>
        </w:tabs>
        <w:spacing w:line="360" w:lineRule="auto"/>
        <w:ind w:right="-284" w:firstLine="710"/>
        <w:jc w:val="both"/>
        <w:rPr>
          <w:rFonts w:ascii="Times New Roman" w:eastAsia="Times New Roman" w:hAnsi="Times New Roman" w:cs="Times New Roman"/>
          <w:sz w:val="26"/>
          <w:szCs w:val="26"/>
        </w:rPr>
      </w:pPr>
      <w:r w:rsidRPr="00D318AA">
        <w:rPr>
          <w:rFonts w:ascii="Times New Roman" w:hAnsi="Times New Roman" w:cs="Times New Roman"/>
          <w:b/>
          <w:sz w:val="26"/>
          <w:szCs w:val="26"/>
        </w:rPr>
        <w:t xml:space="preserve">Предложение </w:t>
      </w:r>
      <w:r>
        <w:rPr>
          <w:rFonts w:ascii="Times New Roman" w:hAnsi="Times New Roman" w:cs="Times New Roman"/>
          <w:b/>
          <w:sz w:val="26"/>
          <w:szCs w:val="26"/>
        </w:rPr>
        <w:t>4</w:t>
      </w:r>
      <w:r w:rsidRPr="00D318AA">
        <w:rPr>
          <w:rFonts w:ascii="Times New Roman" w:hAnsi="Times New Roman" w:cs="Times New Roman"/>
          <w:b/>
          <w:sz w:val="26"/>
          <w:szCs w:val="26"/>
        </w:rPr>
        <w:t>.</w:t>
      </w:r>
      <w:r w:rsidRPr="00D318AA">
        <w:rPr>
          <w:rFonts w:ascii="Times New Roman" w:hAnsi="Times New Roman" w:cs="Times New Roman"/>
          <w:sz w:val="26"/>
          <w:szCs w:val="26"/>
        </w:rPr>
        <w:t xml:space="preserve"> </w:t>
      </w:r>
      <w:r>
        <w:rPr>
          <w:rFonts w:ascii="Times New Roman" w:eastAsia="Times New Roman" w:hAnsi="Times New Roman" w:cs="Times New Roman"/>
          <w:sz w:val="26"/>
          <w:szCs w:val="26"/>
        </w:rPr>
        <w:t>С</w:t>
      </w:r>
      <w:r w:rsidRPr="00D318AA">
        <w:rPr>
          <w:rFonts w:ascii="Times New Roman" w:eastAsia="Times New Roman" w:hAnsi="Times New Roman" w:cs="Times New Roman"/>
          <w:sz w:val="26"/>
          <w:szCs w:val="26"/>
        </w:rPr>
        <w:t xml:space="preserve">нятие требования о необходимости представления в Банк России информации об активах и об организации исключительно на бумажных носителях при предоставлении рефинансирования под обеспечение активами. В силу </w:t>
      </w:r>
      <w:r w:rsidRPr="00D318AA">
        <w:rPr>
          <w:rFonts w:ascii="Times New Roman" w:eastAsia="Times New Roman" w:hAnsi="Times New Roman" w:cs="Times New Roman"/>
          <w:sz w:val="26"/>
          <w:szCs w:val="26"/>
        </w:rPr>
        <w:lastRenderedPageBreak/>
        <w:t>того, что ряд кредитных организаций использует со своими клиентами электронный документооборот, они лишены возможности использовать такие активы в целях получения кредитов Банка России в соответствии с Положением 312-П. Эффективным и удобным для Банка России способом взаимодействия с кредитной организацией могло бы стать предоставление требуемой в соответствии Положением 312-П информации о заемщике в виде электронных документов, которые кредитная организация может заверить электронной подписью уполномоченного лица, подтвердив тем самым их соответствие документам на бумажном носителе.</w:t>
      </w:r>
    </w:p>
    <w:p w:rsidR="00495C29" w:rsidRDefault="00495C29" w:rsidP="00495C29">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495C29" w:rsidRDefault="00495C29" w:rsidP="00495C29">
      <w:pPr>
        <w:shd w:val="clear" w:color="auto" w:fill="FFFFFF"/>
        <w:spacing w:line="360" w:lineRule="auto"/>
        <w:ind w:left="38" w:right="-284" w:firstLine="715"/>
        <w:jc w:val="both"/>
        <w:rPr>
          <w:rFonts w:ascii="Times New Roman" w:eastAsia="Times New Roman" w:hAnsi="Times New Roman" w:cs="Times New Roman"/>
          <w:sz w:val="26"/>
          <w:szCs w:val="26"/>
        </w:rPr>
      </w:pPr>
      <w:r w:rsidRPr="00D318AA">
        <w:rPr>
          <w:rFonts w:ascii="Times New Roman" w:eastAsia="Times New Roman" w:hAnsi="Times New Roman" w:cs="Times New Roman"/>
          <w:spacing w:val="-1"/>
          <w:sz w:val="26"/>
          <w:szCs w:val="26"/>
        </w:rPr>
        <w:t xml:space="preserve">Считаем, что предложение обеспечить возможность представления в Банк России </w:t>
      </w:r>
      <w:r w:rsidRPr="00D318AA">
        <w:rPr>
          <w:rFonts w:ascii="Times New Roman" w:eastAsia="Times New Roman" w:hAnsi="Times New Roman" w:cs="Times New Roman"/>
          <w:sz w:val="26"/>
          <w:szCs w:val="26"/>
        </w:rPr>
        <w:t>информации об активах в целях получения кредитов Банка России в соответствии с Положением № 312-П в электронном виде заслуживает внимания при условии организации надлежащего электронного документооборота между Банком России и кредитными организациями.</w:t>
      </w:r>
    </w:p>
    <w:p w:rsidR="00E34CF4" w:rsidRDefault="00E34CF4" w:rsidP="00495C29">
      <w:pPr>
        <w:shd w:val="clear" w:color="auto" w:fill="FFFFFF"/>
        <w:spacing w:line="360" w:lineRule="auto"/>
        <w:ind w:left="38" w:right="-284" w:firstLine="715"/>
        <w:jc w:val="both"/>
        <w:rPr>
          <w:rFonts w:ascii="Times New Roman" w:eastAsia="Times New Roman" w:hAnsi="Times New Roman" w:cs="Times New Roman"/>
          <w:sz w:val="26"/>
          <w:szCs w:val="26"/>
        </w:rPr>
      </w:pPr>
    </w:p>
    <w:p w:rsidR="002D0FEE" w:rsidRDefault="002D0FEE" w:rsidP="00E34CF4">
      <w:pPr>
        <w:shd w:val="clear" w:color="auto" w:fill="FFFFFF"/>
        <w:spacing w:line="360" w:lineRule="auto"/>
        <w:ind w:left="38" w:right="-284" w:firstLine="715"/>
        <w:jc w:val="both"/>
        <w:rPr>
          <w:rFonts w:ascii="Times New Roman" w:eastAsia="Times New Roman" w:hAnsi="Times New Roman" w:cs="Times New Roman"/>
          <w:b/>
          <w:spacing w:val="-1"/>
          <w:sz w:val="26"/>
          <w:szCs w:val="26"/>
        </w:rPr>
      </w:pPr>
      <w:r w:rsidRPr="003B61F4">
        <w:rPr>
          <w:rFonts w:ascii="Times New Roman" w:eastAsia="Times New Roman" w:hAnsi="Times New Roman" w:cs="Times New Roman"/>
          <w:b/>
          <w:spacing w:val="-1"/>
          <w:sz w:val="26"/>
          <w:szCs w:val="26"/>
        </w:rPr>
        <w:t xml:space="preserve">Ассоциация также направила письмо 06/262 от 26.12.2014, на которое был получен ответ Банка России (письмо №016-41-1/448 от 26.01.2015), разъясняющий позицию регулятора в отношении следующих </w:t>
      </w:r>
      <w:r w:rsidR="00E34CF4" w:rsidRPr="003B61F4">
        <w:rPr>
          <w:rFonts w:ascii="Times New Roman" w:eastAsia="Times New Roman" w:hAnsi="Times New Roman" w:cs="Times New Roman"/>
          <w:b/>
          <w:spacing w:val="-1"/>
          <w:sz w:val="26"/>
          <w:szCs w:val="26"/>
        </w:rPr>
        <w:t xml:space="preserve">предложенных </w:t>
      </w:r>
      <w:r w:rsidR="003B61F4">
        <w:rPr>
          <w:rFonts w:ascii="Times New Roman" w:eastAsia="Times New Roman" w:hAnsi="Times New Roman" w:cs="Times New Roman"/>
          <w:b/>
          <w:spacing w:val="-1"/>
          <w:sz w:val="26"/>
          <w:szCs w:val="26"/>
        </w:rPr>
        <w:t>мер:</w:t>
      </w:r>
    </w:p>
    <w:p w:rsidR="00E34CF4" w:rsidRDefault="00E34CF4" w:rsidP="00E34CF4">
      <w:pPr>
        <w:spacing w:after="0" w:line="360" w:lineRule="auto"/>
        <w:ind w:firstLine="567"/>
        <w:jc w:val="both"/>
        <w:rPr>
          <w:rFonts w:ascii="Times New Roman" w:hAnsi="Times New Roman" w:cs="Times New Roman"/>
          <w:sz w:val="26"/>
          <w:szCs w:val="26"/>
        </w:rPr>
      </w:pPr>
      <w:r w:rsidRPr="00E34CF4">
        <w:rPr>
          <w:rFonts w:ascii="Times New Roman" w:hAnsi="Times New Roman" w:cs="Times New Roman"/>
          <w:b/>
          <w:sz w:val="26"/>
          <w:szCs w:val="26"/>
        </w:rPr>
        <w:t>Предложение 5.</w:t>
      </w:r>
      <w:r>
        <w:rPr>
          <w:rFonts w:ascii="Times New Roman" w:hAnsi="Times New Roman" w:cs="Times New Roman"/>
          <w:sz w:val="26"/>
          <w:szCs w:val="26"/>
        </w:rPr>
        <w:t xml:space="preserve"> Ввод в действие Положения о </w:t>
      </w:r>
      <w:proofErr w:type="spellStart"/>
      <w:r>
        <w:rPr>
          <w:rFonts w:ascii="Times New Roman" w:hAnsi="Times New Roman" w:cs="Times New Roman"/>
          <w:sz w:val="26"/>
          <w:szCs w:val="26"/>
        </w:rPr>
        <w:t>беззалоговых</w:t>
      </w:r>
      <w:proofErr w:type="spellEnd"/>
      <w:r>
        <w:rPr>
          <w:rFonts w:ascii="Times New Roman" w:hAnsi="Times New Roman" w:cs="Times New Roman"/>
          <w:sz w:val="26"/>
          <w:szCs w:val="26"/>
        </w:rPr>
        <w:t xml:space="preserve"> аукционах, необходимость которых остро ощущается всеми кредитными организациями. Данная мера позволит остановить «войну» ставок по депозитам, </w:t>
      </w:r>
      <w:proofErr w:type="gramStart"/>
      <w:r>
        <w:rPr>
          <w:rFonts w:ascii="Times New Roman" w:hAnsi="Times New Roman" w:cs="Times New Roman"/>
          <w:sz w:val="26"/>
          <w:szCs w:val="26"/>
        </w:rPr>
        <w:t>которую</w:t>
      </w:r>
      <w:proofErr w:type="gramEnd"/>
      <w:r>
        <w:rPr>
          <w:rFonts w:ascii="Times New Roman" w:hAnsi="Times New Roman" w:cs="Times New Roman"/>
          <w:sz w:val="26"/>
          <w:szCs w:val="26"/>
        </w:rPr>
        <w:t xml:space="preserve"> прежде всего развернули крупнейшие государственные банки.</w:t>
      </w:r>
    </w:p>
    <w:p w:rsidR="00E34CF4" w:rsidRDefault="00E34CF4" w:rsidP="00E34CF4">
      <w:pPr>
        <w:spacing w:after="0" w:line="360" w:lineRule="auto"/>
        <w:ind w:firstLine="567"/>
        <w:jc w:val="both"/>
        <w:rPr>
          <w:rFonts w:ascii="Times New Roman" w:hAnsi="Times New Roman" w:cs="Times New Roman"/>
          <w:sz w:val="26"/>
          <w:szCs w:val="26"/>
        </w:rPr>
      </w:pPr>
      <w:r w:rsidRPr="00CB3717">
        <w:rPr>
          <w:rFonts w:ascii="Times New Roman" w:hAnsi="Times New Roman" w:cs="Times New Roman"/>
          <w:sz w:val="26"/>
          <w:szCs w:val="26"/>
        </w:rPr>
        <w:t xml:space="preserve">Для недопущения </w:t>
      </w:r>
      <w:proofErr w:type="spellStart"/>
      <w:r w:rsidRPr="00CB3717">
        <w:rPr>
          <w:rFonts w:ascii="Times New Roman" w:hAnsi="Times New Roman" w:cs="Times New Roman"/>
          <w:sz w:val="26"/>
          <w:szCs w:val="26"/>
        </w:rPr>
        <w:t>перетока</w:t>
      </w:r>
      <w:proofErr w:type="spellEnd"/>
      <w:r w:rsidRPr="00CB3717">
        <w:rPr>
          <w:rFonts w:ascii="Times New Roman" w:hAnsi="Times New Roman" w:cs="Times New Roman"/>
          <w:sz w:val="26"/>
          <w:szCs w:val="26"/>
        </w:rPr>
        <w:t xml:space="preserve"> этих средств на валютный рынок кредитные организации предлагают Банку России ввести фиксацию валютной позиции без возможности ее увеличения и усиленный валютный контроль (оперативную отчетность) для банков, получивших данные средства.</w:t>
      </w:r>
    </w:p>
    <w:p w:rsidR="00E34CF4" w:rsidRDefault="00E34CF4" w:rsidP="00E34CF4">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Для обеспечения целевого использования данных средств (на покрытие оттоков клиентских пассивов) кредитные организации предлагают Банку России зафиксировать </w:t>
      </w:r>
      <w:r w:rsidRPr="00CB3717">
        <w:rPr>
          <w:rFonts w:ascii="Times New Roman" w:hAnsi="Times New Roman" w:cs="Times New Roman"/>
          <w:sz w:val="26"/>
          <w:szCs w:val="26"/>
        </w:rPr>
        <w:t>без возможности увеличения</w:t>
      </w:r>
      <w:r>
        <w:rPr>
          <w:rFonts w:ascii="Times New Roman" w:hAnsi="Times New Roman" w:cs="Times New Roman"/>
          <w:sz w:val="26"/>
          <w:szCs w:val="26"/>
        </w:rPr>
        <w:t xml:space="preserve"> размер клиентской ресурсной базы </w:t>
      </w:r>
      <w:r w:rsidRPr="00CB3717">
        <w:rPr>
          <w:rFonts w:ascii="Times New Roman" w:hAnsi="Times New Roman" w:cs="Times New Roman"/>
          <w:sz w:val="26"/>
          <w:szCs w:val="26"/>
        </w:rPr>
        <w:t>для банков, получивших данные средства.</w:t>
      </w:r>
    </w:p>
    <w:p w:rsidR="000B7C28" w:rsidRDefault="000B7C28" w:rsidP="000B7C28">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Наиболее подробно ответ на этот вопрос был раскрыт в письме </w:t>
      </w:r>
      <w:r>
        <w:rPr>
          <w:rFonts w:ascii="Times New Roman" w:eastAsia="Times New Roman" w:hAnsi="Times New Roman" w:cs="Times New Roman"/>
          <w:b/>
          <w:spacing w:val="-1"/>
          <w:sz w:val="26"/>
          <w:szCs w:val="26"/>
        </w:rPr>
        <w:t>Банка России №03-35</w:t>
      </w:r>
      <w:r w:rsidRPr="00BD2D05">
        <w:rPr>
          <w:rFonts w:ascii="Times New Roman" w:eastAsia="Times New Roman" w:hAnsi="Times New Roman" w:cs="Times New Roman"/>
          <w:b/>
          <w:spacing w:val="-1"/>
          <w:sz w:val="26"/>
          <w:szCs w:val="26"/>
        </w:rPr>
        <w:t xml:space="preserve">/858 </w:t>
      </w:r>
      <w:r>
        <w:rPr>
          <w:rFonts w:ascii="Times New Roman" w:eastAsia="Times New Roman" w:hAnsi="Times New Roman" w:cs="Times New Roman"/>
          <w:b/>
          <w:spacing w:val="-1"/>
          <w:sz w:val="26"/>
          <w:szCs w:val="26"/>
        </w:rPr>
        <w:t>от 03.02.2015</w:t>
      </w:r>
      <w:r w:rsidRPr="00D318AA">
        <w:rPr>
          <w:rFonts w:ascii="Times New Roman" w:eastAsia="Times New Roman" w:hAnsi="Times New Roman" w:cs="Times New Roman"/>
          <w:b/>
          <w:sz w:val="26"/>
          <w:szCs w:val="26"/>
        </w:rPr>
        <w:t>:</w:t>
      </w:r>
    </w:p>
    <w:p w:rsidR="000B7C28" w:rsidRPr="000B7C28" w:rsidRDefault="000B7C28" w:rsidP="000B7C28">
      <w:pPr>
        <w:spacing w:after="0" w:line="360" w:lineRule="auto"/>
        <w:ind w:firstLine="567"/>
        <w:jc w:val="both"/>
        <w:rPr>
          <w:rFonts w:ascii="Times New Roman" w:hAnsi="Times New Roman" w:cs="Times New Roman"/>
          <w:sz w:val="26"/>
          <w:szCs w:val="26"/>
        </w:rPr>
      </w:pPr>
      <w:r w:rsidRPr="000B7C28">
        <w:rPr>
          <w:rFonts w:ascii="Times New Roman" w:hAnsi="Times New Roman" w:cs="Times New Roman"/>
          <w:sz w:val="26"/>
          <w:szCs w:val="26"/>
        </w:rPr>
        <w:t xml:space="preserve">Банк России не планирует перехода к регулярному использованию кредитов без обеспечения. Вместе с тем в случае резкого роста напряженности на денежном рынке и появления угроз для стабильности его функционирования Банк России не исключает возможности их использования. Банк России считает целесообразным применение данного инструмента, если возможности кредитных организаций по рефинансированию через стандартные инструменты окажутся исчерпанными. Но и в этом случае необеспеченные операции будут носить нерегулярный </w:t>
      </w:r>
      <w:proofErr w:type="gramStart"/>
      <w:r w:rsidRPr="000B7C28">
        <w:rPr>
          <w:rFonts w:ascii="Times New Roman" w:hAnsi="Times New Roman" w:cs="Times New Roman"/>
          <w:sz w:val="26"/>
          <w:szCs w:val="26"/>
        </w:rPr>
        <w:t>характер</w:t>
      </w:r>
      <w:proofErr w:type="gramEnd"/>
      <w:r w:rsidRPr="000B7C28">
        <w:rPr>
          <w:rFonts w:ascii="Times New Roman" w:hAnsi="Times New Roman" w:cs="Times New Roman"/>
          <w:sz w:val="26"/>
          <w:szCs w:val="26"/>
        </w:rPr>
        <w:t xml:space="preserve"> и проводиться до тех пор, пока банковский сектор не нарастит достаточный объем активов, принимаемых Банком России в качестве обеспечения.</w:t>
      </w:r>
    </w:p>
    <w:p w:rsidR="007233C3" w:rsidRPr="007233C3" w:rsidRDefault="007233C3" w:rsidP="007233C3">
      <w:pPr>
        <w:spacing w:after="0" w:line="360" w:lineRule="auto"/>
        <w:ind w:firstLine="567"/>
        <w:jc w:val="both"/>
        <w:rPr>
          <w:rFonts w:ascii="Times New Roman" w:hAnsi="Times New Roman" w:cs="Times New Roman"/>
          <w:sz w:val="26"/>
          <w:szCs w:val="26"/>
        </w:rPr>
      </w:pPr>
    </w:p>
    <w:p w:rsidR="00AE69AB" w:rsidRDefault="007233C3" w:rsidP="00B26D7D">
      <w:pPr>
        <w:spacing w:after="0" w:line="360" w:lineRule="auto"/>
        <w:ind w:firstLine="567"/>
        <w:jc w:val="both"/>
        <w:rPr>
          <w:rFonts w:ascii="Times New Roman" w:hAnsi="Times New Roman" w:cs="Times New Roman"/>
          <w:sz w:val="26"/>
          <w:szCs w:val="26"/>
        </w:rPr>
      </w:pPr>
      <w:r w:rsidRPr="00B26D7D">
        <w:rPr>
          <w:rFonts w:ascii="Times New Roman" w:hAnsi="Times New Roman" w:cs="Times New Roman"/>
          <w:b/>
          <w:sz w:val="26"/>
          <w:szCs w:val="26"/>
        </w:rPr>
        <w:t>Предложение 6.</w:t>
      </w:r>
      <w:r w:rsidR="00B26D7D" w:rsidRPr="00B26D7D">
        <w:rPr>
          <w:rFonts w:ascii="Times New Roman" w:hAnsi="Times New Roman" w:cs="Times New Roman"/>
          <w:sz w:val="26"/>
          <w:szCs w:val="26"/>
        </w:rPr>
        <w:t xml:space="preserve"> </w:t>
      </w:r>
      <w:r w:rsidR="00B26D7D">
        <w:rPr>
          <w:rFonts w:ascii="Times New Roman" w:hAnsi="Times New Roman" w:cs="Times New Roman"/>
          <w:sz w:val="26"/>
          <w:szCs w:val="26"/>
        </w:rPr>
        <w:t>Довести до завершения процедуру рефинансирования Банком России сделок со страховкой ЭСКАР, обеспечить согласование юристами Банка России и ЭСКАР правил экспортного страхования.</w:t>
      </w:r>
    </w:p>
    <w:p w:rsidR="00B26D7D" w:rsidRDefault="00B26D7D" w:rsidP="00B26D7D">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B26D7D" w:rsidRPr="00B26D7D" w:rsidRDefault="00B26D7D" w:rsidP="00B26D7D">
      <w:pPr>
        <w:spacing w:after="0" w:line="360" w:lineRule="auto"/>
        <w:ind w:firstLine="567"/>
        <w:jc w:val="both"/>
        <w:rPr>
          <w:rFonts w:ascii="Times New Roman" w:hAnsi="Times New Roman" w:cs="Times New Roman"/>
          <w:sz w:val="26"/>
          <w:szCs w:val="26"/>
        </w:rPr>
      </w:pPr>
      <w:proofErr w:type="gramStart"/>
      <w:r w:rsidRPr="00B26D7D">
        <w:rPr>
          <w:rFonts w:ascii="Times New Roman" w:hAnsi="Times New Roman" w:cs="Times New Roman"/>
          <w:sz w:val="26"/>
          <w:szCs w:val="26"/>
        </w:rPr>
        <w:t>В декабре 2014 года внесены изменения в приказ Банка России от 9 августа 2013 года № ОД-452 «О проведении эксперимента по предоставлению Банком России кредитным организациям кредитов, обеспеченных залогом прав требования по кредитным договорам, обеспеченным договорами страхования ОАО «Российское агентство по страхованию экспортных кредитов и инвестиций» (далее - ОАО «ЭКСАР»)», которые предусматривают возможность для кредитных организаций рефинансировать в Банке России как обеспеченные</w:t>
      </w:r>
      <w:proofErr w:type="gramEnd"/>
      <w:r w:rsidRPr="00B26D7D">
        <w:rPr>
          <w:rFonts w:ascii="Times New Roman" w:hAnsi="Times New Roman" w:cs="Times New Roman"/>
          <w:sz w:val="26"/>
          <w:szCs w:val="26"/>
        </w:rPr>
        <w:t xml:space="preserve"> договорами страхования ОАО «ЭКСАР» кредиты, предоставленные российским экспортерам, так и обеспеченные договорами страхования ОАО «ЭКСАР» кредиты, предоставленные импортерам-нерезидентам, осуществляющим покупку продукции российских экспортеров.</w:t>
      </w:r>
    </w:p>
    <w:p w:rsidR="00B26D7D" w:rsidRPr="00B26D7D" w:rsidRDefault="00B26D7D" w:rsidP="00B26D7D">
      <w:pPr>
        <w:spacing w:after="0" w:line="360" w:lineRule="auto"/>
        <w:jc w:val="both"/>
        <w:rPr>
          <w:rFonts w:ascii="Times New Roman" w:hAnsi="Times New Roman" w:cs="Times New Roman"/>
          <w:sz w:val="26"/>
          <w:szCs w:val="26"/>
        </w:rPr>
      </w:pPr>
    </w:p>
    <w:p w:rsidR="00AE69AB" w:rsidRDefault="005A5F1F" w:rsidP="005A5F1F">
      <w:pPr>
        <w:spacing w:after="0" w:line="360" w:lineRule="auto"/>
        <w:ind w:firstLine="567"/>
        <w:jc w:val="both"/>
        <w:rPr>
          <w:rFonts w:ascii="Times New Roman" w:hAnsi="Times New Roman" w:cs="Times New Roman"/>
          <w:sz w:val="26"/>
          <w:szCs w:val="26"/>
        </w:rPr>
      </w:pPr>
      <w:r w:rsidRPr="00B26D7D">
        <w:rPr>
          <w:rFonts w:ascii="Times New Roman" w:hAnsi="Times New Roman" w:cs="Times New Roman"/>
          <w:b/>
          <w:sz w:val="26"/>
          <w:szCs w:val="26"/>
        </w:rPr>
        <w:t xml:space="preserve">Предложение </w:t>
      </w:r>
      <w:r>
        <w:rPr>
          <w:rFonts w:ascii="Times New Roman" w:hAnsi="Times New Roman" w:cs="Times New Roman"/>
          <w:b/>
          <w:sz w:val="26"/>
          <w:szCs w:val="26"/>
        </w:rPr>
        <w:t>7</w:t>
      </w:r>
      <w:r w:rsidRPr="00B26D7D">
        <w:rPr>
          <w:rFonts w:ascii="Times New Roman" w:hAnsi="Times New Roman" w:cs="Times New Roman"/>
          <w:b/>
          <w:sz w:val="26"/>
          <w:szCs w:val="26"/>
        </w:rPr>
        <w:t>.</w:t>
      </w:r>
      <w:r>
        <w:rPr>
          <w:rFonts w:ascii="Times New Roman" w:hAnsi="Times New Roman" w:cs="Times New Roman"/>
          <w:b/>
          <w:sz w:val="26"/>
          <w:szCs w:val="26"/>
        </w:rPr>
        <w:t xml:space="preserve"> </w:t>
      </w:r>
      <w:r w:rsidRPr="005A5F1F">
        <w:rPr>
          <w:rFonts w:ascii="Times New Roman" w:hAnsi="Times New Roman" w:cs="Times New Roman"/>
          <w:sz w:val="26"/>
          <w:szCs w:val="26"/>
        </w:rPr>
        <w:t>Ввести механизм валютного рефинансирования по 312-П валютных кредитов для широкого круга б</w:t>
      </w:r>
      <w:bookmarkStart w:id="0" w:name="_GoBack"/>
      <w:bookmarkEnd w:id="0"/>
      <w:r w:rsidRPr="005A5F1F">
        <w:rPr>
          <w:rFonts w:ascii="Times New Roman" w:hAnsi="Times New Roman" w:cs="Times New Roman"/>
          <w:sz w:val="26"/>
          <w:szCs w:val="26"/>
        </w:rPr>
        <w:t xml:space="preserve">анков и предприятий, директивно исключив возможность получения такого рефинансирования для банков с </w:t>
      </w:r>
      <w:r w:rsidRPr="005A5F1F">
        <w:rPr>
          <w:rFonts w:ascii="Times New Roman" w:hAnsi="Times New Roman" w:cs="Times New Roman"/>
          <w:sz w:val="26"/>
          <w:szCs w:val="26"/>
        </w:rPr>
        <w:lastRenderedPageBreak/>
        <w:t xml:space="preserve">иностранным участием свыше 25%, имеющим возможность получать </w:t>
      </w:r>
      <w:proofErr w:type="gramStart"/>
      <w:r w:rsidRPr="005A5F1F">
        <w:rPr>
          <w:rFonts w:ascii="Times New Roman" w:hAnsi="Times New Roman" w:cs="Times New Roman"/>
          <w:sz w:val="26"/>
          <w:szCs w:val="26"/>
        </w:rPr>
        <w:t>валютное</w:t>
      </w:r>
      <w:proofErr w:type="gramEnd"/>
      <w:r w:rsidRPr="005A5F1F">
        <w:rPr>
          <w:rFonts w:ascii="Times New Roman" w:hAnsi="Times New Roman" w:cs="Times New Roman"/>
          <w:sz w:val="26"/>
          <w:szCs w:val="26"/>
        </w:rPr>
        <w:t xml:space="preserve"> рефинансирования при помощи иностранных акционеров.</w:t>
      </w:r>
    </w:p>
    <w:p w:rsidR="005A5F1F" w:rsidRDefault="005A5F1F" w:rsidP="005A5F1F">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 xml:space="preserve">В декабре 2014 года Советом директоров Банка России принято решение о создании временного механизма (до 1 января 2018 года) предоставления кредитов Банка России в иностранной валюте, обеспеченных залогом прав требования по кредитам в иностранной валюте. Данное решение направлено на расширение возможностей кредитных организаций по управлению собственной валютной ликвидностью, а также по рефинансированию внешних кредитов российских организаций-экспортеров в иностранной валюте, подлежащих погашению в ближайшее время, в условиях ограниченного доступа на международные рынки капитала. Введение указанных операций также будет способствовать возвращению валютного курса к фундаментально обоснованным значениям и достижению баланса спроса и предложения на валютном рынке </w:t>
      </w:r>
      <w:proofErr w:type="gramStart"/>
      <w:r w:rsidRPr="00B527E3">
        <w:rPr>
          <w:rFonts w:ascii="Times New Roman" w:hAnsi="Times New Roman" w:cs="Times New Roman"/>
          <w:sz w:val="26"/>
          <w:szCs w:val="26"/>
        </w:rPr>
        <w:t>при</w:t>
      </w:r>
      <w:proofErr w:type="gramEnd"/>
      <w:r w:rsidRPr="00B527E3">
        <w:rPr>
          <w:rFonts w:ascii="Times New Roman" w:hAnsi="Times New Roman" w:cs="Times New Roman"/>
          <w:sz w:val="26"/>
          <w:szCs w:val="26"/>
        </w:rPr>
        <w:t xml:space="preserve"> более низкой </w:t>
      </w:r>
      <w:proofErr w:type="spellStart"/>
      <w:r w:rsidRPr="00B527E3">
        <w:rPr>
          <w:rFonts w:ascii="Times New Roman" w:hAnsi="Times New Roman" w:cs="Times New Roman"/>
          <w:sz w:val="26"/>
          <w:szCs w:val="26"/>
        </w:rPr>
        <w:t>волатильности</w:t>
      </w:r>
      <w:proofErr w:type="spellEnd"/>
      <w:r w:rsidRPr="00B527E3">
        <w:rPr>
          <w:rFonts w:ascii="Times New Roman" w:hAnsi="Times New Roman" w:cs="Times New Roman"/>
          <w:sz w:val="26"/>
          <w:szCs w:val="26"/>
        </w:rPr>
        <w:t xml:space="preserve"> обменного курса.</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В список контрагентов Банка России по кредитам в иностранной валюте, обеспеченным залогом прав требований по кредитным договорам в иностранной валюте, включаются кредитные организации, имеющие по состоянию на 1 декабря 2014 года капитал (собственные средства) не менее 100 млрд. рублей и государственная корпорация «Банк развития и внешнеэкономической деятельности (Внешэкономбанк)».</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Кредиты Банка России в иностранной валюте будут предоставляться на сроки 28 и 365 календарных дней на аукционной основе, минимальная процентная ставка установлена на уровне ставки LIBOR в соответствующих валютах и на сопоставимые сроки, увеличенной на 0,75 процентного пункта. В залог по данным операциям будут приниматься требования по кредитам в иностранной валюте (в долларах США и евро), предоставленным крупным российским компаниям-экспортерам. При этом валюта кредита Банка России должна соответствовать валюте залога.</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Первый аукцион предполагается провести 26 января 2015 года.</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 xml:space="preserve">Банк России в настоящее время не рассматривает возможность расширения перечня кредитных организаций, допущенных к получению кредитов в </w:t>
      </w:r>
      <w:r w:rsidRPr="00B527E3">
        <w:rPr>
          <w:rFonts w:ascii="Times New Roman" w:hAnsi="Times New Roman" w:cs="Times New Roman"/>
          <w:sz w:val="26"/>
          <w:szCs w:val="26"/>
        </w:rPr>
        <w:lastRenderedPageBreak/>
        <w:t>иностранной валюте, обеспеченных залогом прав требования по кредитам в иностранной валюте, сохраняя действующее ограничение на капитал (не менее 100 млрд. рублей).</w:t>
      </w:r>
    </w:p>
    <w:p w:rsidR="005A5F1F" w:rsidRDefault="005A5F1F" w:rsidP="005A5F1F">
      <w:pPr>
        <w:spacing w:after="0" w:line="360" w:lineRule="auto"/>
        <w:ind w:firstLine="567"/>
        <w:jc w:val="both"/>
        <w:rPr>
          <w:rFonts w:ascii="Times New Roman" w:hAnsi="Times New Roman" w:cs="Times New Roman"/>
          <w:sz w:val="26"/>
          <w:szCs w:val="26"/>
        </w:rPr>
      </w:pPr>
    </w:p>
    <w:p w:rsidR="00DC02E4" w:rsidRDefault="00DC02E4" w:rsidP="005A5F1F">
      <w:pPr>
        <w:spacing w:after="0" w:line="360" w:lineRule="auto"/>
        <w:ind w:firstLine="567"/>
        <w:jc w:val="both"/>
        <w:rPr>
          <w:rFonts w:ascii="Times New Roman" w:eastAsia="Times New Roman" w:hAnsi="Times New Roman" w:cs="Times New Roman"/>
          <w:b/>
          <w:sz w:val="26"/>
          <w:szCs w:val="26"/>
        </w:rPr>
      </w:pPr>
      <w:r w:rsidRPr="00DC02E4">
        <w:rPr>
          <w:rFonts w:ascii="Times New Roman" w:hAnsi="Times New Roman" w:cs="Times New Roman"/>
          <w:b/>
          <w:sz w:val="26"/>
          <w:szCs w:val="26"/>
        </w:rPr>
        <w:t xml:space="preserve">Позиция Банка России в </w:t>
      </w:r>
      <w:r>
        <w:rPr>
          <w:rFonts w:ascii="Times New Roman" w:hAnsi="Times New Roman" w:cs="Times New Roman"/>
          <w:b/>
          <w:sz w:val="26"/>
          <w:szCs w:val="26"/>
        </w:rPr>
        <w:t>отношении</w:t>
      </w:r>
      <w:r w:rsidRPr="00DC02E4">
        <w:rPr>
          <w:rFonts w:ascii="Times New Roman" w:hAnsi="Times New Roman" w:cs="Times New Roman"/>
          <w:b/>
          <w:sz w:val="26"/>
          <w:szCs w:val="26"/>
        </w:rPr>
        <w:t xml:space="preserve"> размера капитала банков, допущенных к рефинансированию кредитов, выданных на инвестиционные </w:t>
      </w:r>
      <w:r>
        <w:rPr>
          <w:rFonts w:ascii="Times New Roman" w:hAnsi="Times New Roman" w:cs="Times New Roman"/>
          <w:b/>
          <w:sz w:val="26"/>
          <w:szCs w:val="26"/>
        </w:rPr>
        <w:t xml:space="preserve">цели, и к валютным кредитам, была более детально раскрыта в письме </w:t>
      </w:r>
      <w:r w:rsidRPr="00DC02E4">
        <w:rPr>
          <w:rFonts w:ascii="Times New Roman" w:eastAsia="Times New Roman" w:hAnsi="Times New Roman" w:cs="Times New Roman"/>
          <w:b/>
          <w:sz w:val="26"/>
          <w:szCs w:val="26"/>
        </w:rPr>
        <w:t>№03-35/858 от 03.02.2015</w:t>
      </w:r>
      <w:r>
        <w:rPr>
          <w:rFonts w:ascii="Times New Roman" w:eastAsia="Times New Roman" w:hAnsi="Times New Roman" w:cs="Times New Roman"/>
          <w:b/>
          <w:sz w:val="26"/>
          <w:szCs w:val="26"/>
        </w:rPr>
        <w:t>:</w:t>
      </w:r>
    </w:p>
    <w:p w:rsidR="00DC02E4" w:rsidRPr="00DC02E4" w:rsidRDefault="00DC02E4" w:rsidP="00DC02E4">
      <w:pPr>
        <w:spacing w:after="0" w:line="360" w:lineRule="auto"/>
        <w:ind w:firstLine="567"/>
        <w:jc w:val="both"/>
        <w:rPr>
          <w:rFonts w:ascii="Times New Roman" w:hAnsi="Times New Roman" w:cs="Times New Roman"/>
          <w:sz w:val="26"/>
          <w:szCs w:val="26"/>
        </w:rPr>
      </w:pPr>
      <w:r w:rsidRPr="00DC02E4">
        <w:rPr>
          <w:rFonts w:ascii="Times New Roman" w:hAnsi="Times New Roman" w:cs="Times New Roman"/>
          <w:sz w:val="26"/>
          <w:szCs w:val="26"/>
        </w:rPr>
        <w:t xml:space="preserve">Банк России не стремится нормативно создавать преференции крупнейшим и крупным кредитным организациям. Вместе с тем Банк России должен управлять собственными рисками, в </w:t>
      </w:r>
      <w:proofErr w:type="gramStart"/>
      <w:r w:rsidRPr="00DC02E4">
        <w:rPr>
          <w:rFonts w:ascii="Times New Roman" w:hAnsi="Times New Roman" w:cs="Times New Roman"/>
          <w:sz w:val="26"/>
          <w:szCs w:val="26"/>
        </w:rPr>
        <w:t>связи</w:t>
      </w:r>
      <w:proofErr w:type="gramEnd"/>
      <w:r w:rsidRPr="00DC02E4">
        <w:rPr>
          <w:rFonts w:ascii="Times New Roman" w:hAnsi="Times New Roman" w:cs="Times New Roman"/>
          <w:sz w:val="26"/>
          <w:szCs w:val="26"/>
        </w:rPr>
        <w:t xml:space="preserve"> с чем предъявляются определенные требования к кредитным организациям, которые допускаются к операциям рефинансирования, в том числе к разного рода специализированным инструментам.</w:t>
      </w:r>
    </w:p>
    <w:p w:rsidR="00DC02E4" w:rsidRPr="00DC02E4" w:rsidRDefault="00DC02E4" w:rsidP="00DC02E4">
      <w:pPr>
        <w:spacing w:after="0" w:line="360" w:lineRule="auto"/>
        <w:ind w:firstLine="567"/>
        <w:jc w:val="both"/>
        <w:rPr>
          <w:rFonts w:ascii="Times New Roman" w:hAnsi="Times New Roman" w:cs="Times New Roman"/>
          <w:sz w:val="26"/>
          <w:szCs w:val="26"/>
        </w:rPr>
      </w:pPr>
      <w:r w:rsidRPr="00DC02E4">
        <w:rPr>
          <w:rFonts w:ascii="Times New Roman" w:hAnsi="Times New Roman" w:cs="Times New Roman"/>
          <w:sz w:val="26"/>
          <w:szCs w:val="26"/>
        </w:rPr>
        <w:t xml:space="preserve">К механизму рефинансирования кредитов, предоставленных на реализацию инвестиционных проектов, допущены кредитные организации, размер собственных средств (капитала) которых превышает 50 млрд. рублей, в то время как к Программе поддержки инвестиционных проектов, реализуемых на территории Российской </w:t>
      </w:r>
      <w:proofErr w:type="gramStart"/>
      <w:r w:rsidRPr="00DC02E4">
        <w:rPr>
          <w:rFonts w:ascii="Times New Roman" w:hAnsi="Times New Roman" w:cs="Times New Roman"/>
          <w:sz w:val="26"/>
          <w:szCs w:val="26"/>
        </w:rPr>
        <w:t>Федерации</w:t>
      </w:r>
      <w:proofErr w:type="gramEnd"/>
      <w:r w:rsidRPr="00DC02E4">
        <w:rPr>
          <w:rFonts w:ascii="Times New Roman" w:hAnsi="Times New Roman" w:cs="Times New Roman"/>
          <w:sz w:val="26"/>
          <w:szCs w:val="26"/>
        </w:rPr>
        <w:t xml:space="preserve"> на основе проектного финансирования (далее - Программа), утвержденной Постановлением Правительства Российской Федерации от 11  октября 2014 года №1044, допущены  только кредитные организации, размер собственных средств (капитала) которых превышает 100 млрд. рублей.</w:t>
      </w:r>
    </w:p>
    <w:p w:rsidR="00DC02E4" w:rsidRDefault="00DC02E4" w:rsidP="00DC02E4">
      <w:pPr>
        <w:spacing w:after="0" w:line="360" w:lineRule="auto"/>
        <w:ind w:firstLine="567"/>
        <w:jc w:val="both"/>
        <w:rPr>
          <w:rFonts w:ascii="Times New Roman" w:hAnsi="Times New Roman" w:cs="Times New Roman"/>
          <w:sz w:val="26"/>
          <w:szCs w:val="26"/>
        </w:rPr>
      </w:pPr>
      <w:proofErr w:type="gramStart"/>
      <w:r w:rsidRPr="00DC02E4">
        <w:rPr>
          <w:rFonts w:ascii="Times New Roman" w:hAnsi="Times New Roman" w:cs="Times New Roman"/>
          <w:sz w:val="26"/>
          <w:szCs w:val="26"/>
        </w:rPr>
        <w:t>В связи с этим до пересмотра требований к кредитным организациям в рамках</w:t>
      </w:r>
      <w:proofErr w:type="gramEnd"/>
      <w:r w:rsidRPr="00DC02E4">
        <w:rPr>
          <w:rFonts w:ascii="Times New Roman" w:hAnsi="Times New Roman" w:cs="Times New Roman"/>
          <w:sz w:val="26"/>
          <w:szCs w:val="26"/>
        </w:rPr>
        <w:t xml:space="preserve"> Программы изменение требований к кредитным организациям, допущенным к вышеуказанному механизму рефинансирования представляется нецелесообразным.</w:t>
      </w:r>
    </w:p>
    <w:p w:rsidR="00DC02E4" w:rsidRPr="00DC02E4" w:rsidRDefault="00DC02E4" w:rsidP="00DC02E4">
      <w:pPr>
        <w:spacing w:after="0" w:line="360" w:lineRule="auto"/>
        <w:ind w:firstLine="567"/>
        <w:jc w:val="both"/>
        <w:rPr>
          <w:rFonts w:ascii="Times New Roman" w:hAnsi="Times New Roman" w:cs="Times New Roman"/>
          <w:sz w:val="26"/>
          <w:szCs w:val="26"/>
        </w:rPr>
      </w:pPr>
      <w:r w:rsidRPr="00DC02E4">
        <w:rPr>
          <w:rFonts w:ascii="Times New Roman" w:hAnsi="Times New Roman" w:cs="Times New Roman"/>
          <w:sz w:val="26"/>
          <w:szCs w:val="26"/>
        </w:rPr>
        <w:t>Вопрос об изменении подходов к формированию списка кредитных организаций, допущенных к механизму рефинансирования кредитов, предоставленных на реализацию инвестиционных проектов, может быть рассмотрен после изменения круга кредитных организаций, участвующих в Прогр</w:t>
      </w:r>
      <w:r>
        <w:rPr>
          <w:rFonts w:ascii="Times New Roman" w:hAnsi="Times New Roman" w:cs="Times New Roman"/>
          <w:sz w:val="26"/>
          <w:szCs w:val="26"/>
        </w:rPr>
        <w:t>амме</w:t>
      </w:r>
      <w:r w:rsidRPr="00DC02E4">
        <w:rPr>
          <w:rFonts w:ascii="Times New Roman" w:hAnsi="Times New Roman" w:cs="Times New Roman"/>
          <w:sz w:val="26"/>
          <w:szCs w:val="26"/>
        </w:rPr>
        <w:t>.</w:t>
      </w:r>
    </w:p>
    <w:p w:rsidR="00DC02E4" w:rsidRPr="00DC02E4" w:rsidRDefault="00DC02E4" w:rsidP="00DC02E4">
      <w:pPr>
        <w:spacing w:after="0" w:line="360" w:lineRule="auto"/>
        <w:ind w:firstLine="567"/>
        <w:jc w:val="both"/>
        <w:rPr>
          <w:rFonts w:ascii="Times New Roman" w:hAnsi="Times New Roman" w:cs="Times New Roman"/>
          <w:sz w:val="26"/>
          <w:szCs w:val="26"/>
        </w:rPr>
      </w:pPr>
      <w:r w:rsidRPr="00DC02E4">
        <w:rPr>
          <w:rFonts w:ascii="Times New Roman" w:hAnsi="Times New Roman" w:cs="Times New Roman"/>
          <w:sz w:val="26"/>
          <w:szCs w:val="26"/>
        </w:rPr>
        <w:t xml:space="preserve">Круг кредитных организаций, допущенных к валютным кредитам, определяется исходя из целей ограничения </w:t>
      </w:r>
      <w:proofErr w:type="gramStart"/>
      <w:r w:rsidRPr="00DC02E4">
        <w:rPr>
          <w:rFonts w:ascii="Times New Roman" w:hAnsi="Times New Roman" w:cs="Times New Roman"/>
          <w:sz w:val="26"/>
          <w:szCs w:val="26"/>
        </w:rPr>
        <w:t xml:space="preserve">рисков инвестирования средств </w:t>
      </w:r>
      <w:r w:rsidRPr="00DC02E4">
        <w:rPr>
          <w:rFonts w:ascii="Times New Roman" w:hAnsi="Times New Roman" w:cs="Times New Roman"/>
          <w:sz w:val="26"/>
          <w:szCs w:val="26"/>
        </w:rPr>
        <w:lastRenderedPageBreak/>
        <w:t>золотовалютных резервов Банка</w:t>
      </w:r>
      <w:proofErr w:type="gramEnd"/>
      <w:r w:rsidRPr="00DC02E4">
        <w:rPr>
          <w:rFonts w:ascii="Times New Roman" w:hAnsi="Times New Roman" w:cs="Times New Roman"/>
          <w:sz w:val="26"/>
          <w:szCs w:val="26"/>
        </w:rPr>
        <w:t xml:space="preserve"> России, необходимых для поддержания макроэкономической стабильности в стране.</w:t>
      </w:r>
    </w:p>
    <w:p w:rsidR="00DC02E4" w:rsidRDefault="00DC02E4" w:rsidP="005A5F1F">
      <w:pPr>
        <w:spacing w:after="0" w:line="360" w:lineRule="auto"/>
        <w:ind w:firstLine="567"/>
        <w:jc w:val="both"/>
        <w:rPr>
          <w:rFonts w:ascii="Times New Roman" w:hAnsi="Times New Roman" w:cs="Times New Roman"/>
          <w:sz w:val="26"/>
          <w:szCs w:val="26"/>
        </w:rPr>
      </w:pPr>
    </w:p>
    <w:p w:rsidR="00B527E3" w:rsidRDefault="00B527E3" w:rsidP="005A5F1F">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b/>
          <w:sz w:val="26"/>
          <w:szCs w:val="26"/>
        </w:rPr>
        <w:t>Предложение 8</w:t>
      </w:r>
      <w:r>
        <w:rPr>
          <w:rFonts w:ascii="Times New Roman" w:hAnsi="Times New Roman" w:cs="Times New Roman"/>
          <w:b/>
          <w:sz w:val="26"/>
          <w:szCs w:val="26"/>
        </w:rPr>
        <w:t xml:space="preserve">. </w:t>
      </w:r>
      <w:r>
        <w:rPr>
          <w:rFonts w:ascii="Times New Roman" w:hAnsi="Times New Roman" w:cs="Times New Roman"/>
          <w:sz w:val="26"/>
          <w:szCs w:val="26"/>
        </w:rPr>
        <w:t>Введение механизма рефинансирования под залог пулов ипотечных кредитов, выданных по стандартам АИЖК и имеющим низкий уровень просрочки.</w:t>
      </w:r>
    </w:p>
    <w:p w:rsidR="00B527E3" w:rsidRDefault="00B527E3" w:rsidP="00B527E3">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С 1 января 2015 года введен в действие «</w:t>
      </w:r>
      <w:proofErr w:type="spellStart"/>
      <w:r w:rsidRPr="00B527E3">
        <w:rPr>
          <w:rFonts w:ascii="Times New Roman" w:hAnsi="Times New Roman" w:cs="Times New Roman"/>
          <w:sz w:val="26"/>
          <w:szCs w:val="26"/>
        </w:rPr>
        <w:t>пилотный</w:t>
      </w:r>
      <w:proofErr w:type="spellEnd"/>
      <w:r w:rsidRPr="00B527E3">
        <w:rPr>
          <w:rFonts w:ascii="Times New Roman" w:hAnsi="Times New Roman" w:cs="Times New Roman"/>
          <w:sz w:val="26"/>
          <w:szCs w:val="26"/>
        </w:rPr>
        <w:t>» механизм предоставления кредитов Банка России, обеспеченных закладными, выданными в рамках военной ипотеки. Вопрос о расширении состава закладных, которые могут быть использованы в качестве обеспечения кредитов Банка России, может быть рассмотрен по согласованию с ОАО «АИЖК» после завершения первого этапа реализации указанного «</w:t>
      </w:r>
      <w:proofErr w:type="spellStart"/>
      <w:r w:rsidRPr="00B527E3">
        <w:rPr>
          <w:rFonts w:ascii="Times New Roman" w:hAnsi="Times New Roman" w:cs="Times New Roman"/>
          <w:sz w:val="26"/>
          <w:szCs w:val="26"/>
        </w:rPr>
        <w:t>пилотного</w:t>
      </w:r>
      <w:proofErr w:type="spellEnd"/>
      <w:r w:rsidRPr="00B527E3">
        <w:rPr>
          <w:rFonts w:ascii="Times New Roman" w:hAnsi="Times New Roman" w:cs="Times New Roman"/>
          <w:sz w:val="26"/>
          <w:szCs w:val="26"/>
        </w:rPr>
        <w:t>» механизма.</w:t>
      </w:r>
    </w:p>
    <w:p w:rsidR="00B527E3" w:rsidRPr="00B527E3" w:rsidRDefault="00B527E3" w:rsidP="00B527E3">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sz w:val="26"/>
          <w:szCs w:val="26"/>
        </w:rPr>
        <w:t>Кроме того, в конце 2014 года Банком России при взаимодействии с кредитными организациями, активно работающими на рынке ипотечного кредитования, были разработаны стандартные требования к ипотечным кредитам, требования по которым могут быть приняты в обеспечение при рефинансировании кредитных организаций. С учетом разработанных стандартных требований к ипотечным кредитам Банк России подготовил проект нормативного документа, устанавливающего условия включения жилищных облигаций с ипотечным покрытием в Ломбардный список Банка России при отсутств</w:t>
      </w:r>
      <w:proofErr w:type="gramStart"/>
      <w:r w:rsidRPr="00B527E3">
        <w:rPr>
          <w:rFonts w:ascii="Times New Roman" w:hAnsi="Times New Roman" w:cs="Times New Roman"/>
          <w:sz w:val="26"/>
          <w:szCs w:val="26"/>
        </w:rPr>
        <w:t>ии у э</w:t>
      </w:r>
      <w:proofErr w:type="gramEnd"/>
      <w:r w:rsidRPr="00B527E3">
        <w:rPr>
          <w:rFonts w:ascii="Times New Roman" w:hAnsi="Times New Roman" w:cs="Times New Roman"/>
          <w:sz w:val="26"/>
          <w:szCs w:val="26"/>
        </w:rPr>
        <w:t>митента (выпуска) облигаций кредитного рейтинга. В I квартале 2015 года новые условия рефинансирования кредитных организаций под залог ипотечных активов будут рассмотрены на Совете директоров Банка России.</w:t>
      </w:r>
    </w:p>
    <w:p w:rsidR="00B527E3" w:rsidRDefault="00B527E3" w:rsidP="005A5F1F">
      <w:pPr>
        <w:spacing w:after="0" w:line="360" w:lineRule="auto"/>
        <w:ind w:firstLine="567"/>
        <w:jc w:val="both"/>
        <w:rPr>
          <w:rFonts w:ascii="Times New Roman" w:hAnsi="Times New Roman" w:cs="Times New Roman"/>
          <w:sz w:val="26"/>
          <w:szCs w:val="26"/>
        </w:rPr>
      </w:pPr>
    </w:p>
    <w:p w:rsidR="00FA49C1" w:rsidRDefault="00FA49C1" w:rsidP="005A5F1F">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b/>
          <w:sz w:val="26"/>
          <w:szCs w:val="26"/>
        </w:rPr>
        <w:t xml:space="preserve">Предложение </w:t>
      </w:r>
      <w:r>
        <w:rPr>
          <w:rFonts w:ascii="Times New Roman" w:hAnsi="Times New Roman" w:cs="Times New Roman"/>
          <w:b/>
          <w:sz w:val="26"/>
          <w:szCs w:val="26"/>
        </w:rPr>
        <w:t xml:space="preserve">9. </w:t>
      </w:r>
      <w:r>
        <w:rPr>
          <w:rFonts w:ascii="Times New Roman" w:hAnsi="Times New Roman" w:cs="Times New Roman"/>
          <w:sz w:val="26"/>
          <w:szCs w:val="26"/>
        </w:rPr>
        <w:t xml:space="preserve">Введение механизма рефинансирования под залог пулов кредитов малому и среднему бизнесу, выданных под гарантии Агентства кредитных гарантий, МСП Банка, региональных гарантийных фондов, и </w:t>
      </w:r>
      <w:proofErr w:type="gramStart"/>
      <w:r>
        <w:rPr>
          <w:rFonts w:ascii="Times New Roman" w:hAnsi="Times New Roman" w:cs="Times New Roman"/>
          <w:sz w:val="26"/>
          <w:szCs w:val="26"/>
        </w:rPr>
        <w:t>имеющим</w:t>
      </w:r>
      <w:proofErr w:type="gramEnd"/>
      <w:r>
        <w:rPr>
          <w:rFonts w:ascii="Times New Roman" w:hAnsi="Times New Roman" w:cs="Times New Roman"/>
          <w:sz w:val="26"/>
          <w:szCs w:val="26"/>
        </w:rPr>
        <w:t xml:space="preserve"> низкий уровень просрочки.</w:t>
      </w:r>
    </w:p>
    <w:p w:rsidR="00FA49C1" w:rsidRDefault="00FA49C1" w:rsidP="00FA49C1">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FA49C1" w:rsidRPr="00FA49C1" w:rsidRDefault="00FA49C1" w:rsidP="00FA49C1">
      <w:pPr>
        <w:spacing w:after="0" w:line="360" w:lineRule="auto"/>
        <w:ind w:firstLine="567"/>
        <w:jc w:val="both"/>
        <w:rPr>
          <w:rFonts w:ascii="Times New Roman" w:hAnsi="Times New Roman" w:cs="Times New Roman"/>
          <w:sz w:val="26"/>
          <w:szCs w:val="26"/>
        </w:rPr>
      </w:pPr>
      <w:r w:rsidRPr="00FA49C1">
        <w:rPr>
          <w:rFonts w:ascii="Times New Roman" w:hAnsi="Times New Roman" w:cs="Times New Roman"/>
          <w:sz w:val="26"/>
          <w:szCs w:val="26"/>
        </w:rPr>
        <w:lastRenderedPageBreak/>
        <w:t>В настоящее время завершается работа над внесением изменений в Положение Банка России от 12.11.2007 № 312-П «О порядке предоставления Банка России кредитным организациям кредитов, обеспеченных активами или поручительствами», предусматривающих упрощенный порядок рефинансирования кредитными организациями в Банке России кредитов, предоставленных субъектам малого и среднего предпринимательства, обеспеченных банковскими гарантиями Агентства кредитных гарантий.</w:t>
      </w:r>
    </w:p>
    <w:p w:rsidR="00FA49C1" w:rsidRDefault="00FA49C1" w:rsidP="005A5F1F">
      <w:pPr>
        <w:spacing w:after="0" w:line="360" w:lineRule="auto"/>
        <w:ind w:firstLine="567"/>
        <w:jc w:val="both"/>
        <w:rPr>
          <w:rFonts w:ascii="Times New Roman" w:hAnsi="Times New Roman" w:cs="Times New Roman"/>
          <w:sz w:val="26"/>
          <w:szCs w:val="26"/>
        </w:rPr>
      </w:pPr>
    </w:p>
    <w:p w:rsidR="00FA49C1" w:rsidRDefault="00FA49C1" w:rsidP="005A5F1F">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b/>
          <w:sz w:val="26"/>
          <w:szCs w:val="26"/>
        </w:rPr>
        <w:t xml:space="preserve">Предложение </w:t>
      </w:r>
      <w:r>
        <w:rPr>
          <w:rFonts w:ascii="Times New Roman" w:hAnsi="Times New Roman" w:cs="Times New Roman"/>
          <w:b/>
          <w:sz w:val="26"/>
          <w:szCs w:val="26"/>
        </w:rPr>
        <w:t xml:space="preserve">10. </w:t>
      </w:r>
      <w:r>
        <w:rPr>
          <w:rFonts w:ascii="Times New Roman" w:hAnsi="Times New Roman" w:cs="Times New Roman"/>
          <w:sz w:val="26"/>
          <w:szCs w:val="26"/>
        </w:rPr>
        <w:t>Максимально (в ряде случаев до 0) сократить дисконт по ценным бумагам ломбардного списка, учитывая резкое, но очевидно временное падение их стоимости.</w:t>
      </w:r>
    </w:p>
    <w:p w:rsidR="00FA49C1" w:rsidRDefault="00FA49C1" w:rsidP="00FA49C1">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FA49C1" w:rsidRPr="00FA49C1" w:rsidRDefault="00FA49C1" w:rsidP="00FA49C1">
      <w:pPr>
        <w:spacing w:after="0" w:line="360" w:lineRule="auto"/>
        <w:ind w:firstLine="567"/>
        <w:jc w:val="both"/>
        <w:rPr>
          <w:rFonts w:ascii="Times New Roman" w:hAnsi="Times New Roman" w:cs="Times New Roman"/>
          <w:sz w:val="26"/>
          <w:szCs w:val="26"/>
        </w:rPr>
      </w:pPr>
      <w:r w:rsidRPr="00FA49C1">
        <w:rPr>
          <w:rFonts w:ascii="Times New Roman" w:hAnsi="Times New Roman" w:cs="Times New Roman"/>
          <w:sz w:val="26"/>
          <w:szCs w:val="26"/>
        </w:rPr>
        <w:t xml:space="preserve">В целях расширения объема потенциального обеспечения по операциям рефинансирования Банка России Центральным банком Российской Федерации 17.12.2014 было принято решение о повышении поправочных коэффициентов (снижении дисконтов Банка России), применяемых для корректировки стоимости ценных бумаг, принимаемых в обеспечение по операциям рефинансирования Банка России, что привело к увеличению базы потенциального обеспечения по операциям рефинансирования Банка России на сумму до 80 </w:t>
      </w:r>
      <w:proofErr w:type="spellStart"/>
      <w:proofErr w:type="gramStart"/>
      <w:r w:rsidRPr="00FA49C1">
        <w:rPr>
          <w:rFonts w:ascii="Times New Roman" w:hAnsi="Times New Roman" w:cs="Times New Roman"/>
          <w:sz w:val="26"/>
          <w:szCs w:val="26"/>
        </w:rPr>
        <w:t>млрд</w:t>
      </w:r>
      <w:proofErr w:type="spellEnd"/>
      <w:proofErr w:type="gramEnd"/>
      <w:r w:rsidRPr="00FA49C1">
        <w:rPr>
          <w:rFonts w:ascii="Times New Roman" w:hAnsi="Times New Roman" w:cs="Times New Roman"/>
          <w:sz w:val="26"/>
          <w:szCs w:val="26"/>
        </w:rPr>
        <w:t xml:space="preserve"> рублей.</w:t>
      </w:r>
    </w:p>
    <w:p w:rsidR="00FA49C1" w:rsidRDefault="00FA49C1" w:rsidP="005A5F1F">
      <w:pPr>
        <w:spacing w:after="0" w:line="360" w:lineRule="auto"/>
        <w:ind w:firstLine="567"/>
        <w:jc w:val="both"/>
        <w:rPr>
          <w:rFonts w:ascii="Times New Roman" w:hAnsi="Times New Roman" w:cs="Times New Roman"/>
          <w:sz w:val="26"/>
          <w:szCs w:val="26"/>
        </w:rPr>
      </w:pPr>
    </w:p>
    <w:p w:rsidR="00FA49C1" w:rsidRDefault="00FA49C1" w:rsidP="005A5F1F">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b/>
          <w:sz w:val="26"/>
          <w:szCs w:val="26"/>
        </w:rPr>
        <w:t xml:space="preserve">Предложение </w:t>
      </w:r>
      <w:r>
        <w:rPr>
          <w:rFonts w:ascii="Times New Roman" w:hAnsi="Times New Roman" w:cs="Times New Roman"/>
          <w:b/>
          <w:sz w:val="26"/>
          <w:szCs w:val="26"/>
        </w:rPr>
        <w:t>11.</w:t>
      </w:r>
      <w:r w:rsidR="00610E78">
        <w:rPr>
          <w:rFonts w:ascii="Times New Roman" w:hAnsi="Times New Roman" w:cs="Times New Roman"/>
          <w:b/>
          <w:sz w:val="26"/>
          <w:szCs w:val="26"/>
        </w:rPr>
        <w:t xml:space="preserve"> </w:t>
      </w:r>
      <w:r w:rsidR="00610E78">
        <w:rPr>
          <w:rFonts w:ascii="Times New Roman" w:hAnsi="Times New Roman" w:cs="Times New Roman"/>
          <w:sz w:val="26"/>
          <w:szCs w:val="26"/>
        </w:rPr>
        <w:t>Включить в ломбардный список ценные бумаги, соответствующие формальным критериям по рейтингу.</w:t>
      </w:r>
    </w:p>
    <w:p w:rsidR="00610E78" w:rsidRDefault="00610E78" w:rsidP="00610E78">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610E78" w:rsidRPr="00610E78" w:rsidRDefault="00610E78" w:rsidP="00610E78">
      <w:pPr>
        <w:spacing w:after="0" w:line="360" w:lineRule="auto"/>
        <w:ind w:firstLine="567"/>
        <w:jc w:val="both"/>
        <w:rPr>
          <w:rFonts w:ascii="Times New Roman" w:hAnsi="Times New Roman" w:cs="Times New Roman"/>
          <w:sz w:val="26"/>
          <w:szCs w:val="26"/>
        </w:rPr>
      </w:pPr>
      <w:proofErr w:type="gramStart"/>
      <w:r w:rsidRPr="00610E78">
        <w:rPr>
          <w:rFonts w:ascii="Times New Roman" w:hAnsi="Times New Roman" w:cs="Times New Roman"/>
          <w:sz w:val="26"/>
          <w:szCs w:val="26"/>
        </w:rPr>
        <w:t>В соответствии с решением Банка России от 14.10.2014 при рассмотрении вопроса о включении облигаций в Ломбардный список Банка России Центральным банком Российской Федерации временно приостановлено проведение оценки ликвидности соответствующих ценных бумаг, что позволяет включать в Ломбардный список Банка России практически все обращающиеся в настоящее время на биржевом рынке выпуски облигаций, соответствующие требованиям Указания Банка России от 10.08.2012 № 2861-У «О перечне</w:t>
      </w:r>
      <w:proofErr w:type="gramEnd"/>
      <w:r w:rsidRPr="00610E78">
        <w:rPr>
          <w:rFonts w:ascii="Times New Roman" w:hAnsi="Times New Roman" w:cs="Times New Roman"/>
          <w:sz w:val="26"/>
          <w:szCs w:val="26"/>
        </w:rPr>
        <w:t xml:space="preserve"> ценных бумаг, входящих в Ломбардный список Банка России».</w:t>
      </w:r>
    </w:p>
    <w:p w:rsidR="00610E78" w:rsidRPr="00610E78" w:rsidRDefault="00610E78" w:rsidP="00610E78">
      <w:pPr>
        <w:spacing w:after="0" w:line="360" w:lineRule="auto"/>
        <w:ind w:firstLine="567"/>
        <w:jc w:val="both"/>
        <w:rPr>
          <w:rFonts w:ascii="Times New Roman" w:hAnsi="Times New Roman" w:cs="Times New Roman"/>
          <w:sz w:val="26"/>
          <w:szCs w:val="26"/>
        </w:rPr>
      </w:pPr>
      <w:proofErr w:type="gramStart"/>
      <w:r w:rsidRPr="00610E78">
        <w:rPr>
          <w:rFonts w:ascii="Times New Roman" w:hAnsi="Times New Roman" w:cs="Times New Roman"/>
          <w:sz w:val="26"/>
          <w:szCs w:val="26"/>
        </w:rPr>
        <w:lastRenderedPageBreak/>
        <w:t>Вместе с тем при рассмотрении вопроса о включении облигаций в Ломбардный список Банка России Центральным банком Российской Федерации принимаются во внимание результаты анализа условий размещения и обращения соответствующих выпусков ценных бумаг на предмет выявления факторов, которые могли бы привести к возникновению дополнительных рисков Банка России при проведении операций рефинансирования Банка России.</w:t>
      </w:r>
      <w:proofErr w:type="gramEnd"/>
    </w:p>
    <w:p w:rsidR="00610E78" w:rsidRDefault="00610E78" w:rsidP="005A5F1F">
      <w:pPr>
        <w:spacing w:after="0" w:line="360" w:lineRule="auto"/>
        <w:ind w:firstLine="567"/>
        <w:jc w:val="both"/>
        <w:rPr>
          <w:rFonts w:ascii="Times New Roman" w:hAnsi="Times New Roman" w:cs="Times New Roman"/>
          <w:b/>
          <w:sz w:val="26"/>
          <w:szCs w:val="26"/>
        </w:rPr>
      </w:pPr>
    </w:p>
    <w:p w:rsidR="00610E78" w:rsidRDefault="00E87DDB" w:rsidP="005A5F1F">
      <w:pPr>
        <w:spacing w:after="0" w:line="360" w:lineRule="auto"/>
        <w:ind w:firstLine="567"/>
        <w:jc w:val="both"/>
        <w:rPr>
          <w:rFonts w:ascii="Times New Roman" w:hAnsi="Times New Roman" w:cs="Times New Roman"/>
          <w:sz w:val="26"/>
          <w:szCs w:val="26"/>
        </w:rPr>
      </w:pPr>
      <w:r w:rsidRPr="00B527E3">
        <w:rPr>
          <w:rFonts w:ascii="Times New Roman" w:hAnsi="Times New Roman" w:cs="Times New Roman"/>
          <w:b/>
          <w:sz w:val="26"/>
          <w:szCs w:val="26"/>
        </w:rPr>
        <w:t xml:space="preserve">Предложение </w:t>
      </w:r>
      <w:r>
        <w:rPr>
          <w:rFonts w:ascii="Times New Roman" w:hAnsi="Times New Roman" w:cs="Times New Roman"/>
          <w:b/>
          <w:sz w:val="26"/>
          <w:szCs w:val="26"/>
        </w:rPr>
        <w:t xml:space="preserve">12. </w:t>
      </w:r>
      <w:r>
        <w:rPr>
          <w:rFonts w:ascii="Times New Roman" w:hAnsi="Times New Roman" w:cs="Times New Roman"/>
          <w:sz w:val="26"/>
          <w:szCs w:val="26"/>
        </w:rPr>
        <w:t>Выделение средств АИЖК на выкуп ипотеки, выданной в рамках государственных ипотечных программ (например, «военной» ипотеки), маржинальная ставка по которым в настоящее время имеет отрицательное значение.</w:t>
      </w:r>
    </w:p>
    <w:p w:rsidR="00E87DDB" w:rsidRDefault="00E87DDB" w:rsidP="00E87DDB">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E87DDB" w:rsidRPr="00E87DDB" w:rsidRDefault="00E87DDB" w:rsidP="00E87DDB">
      <w:pPr>
        <w:spacing w:after="0" w:line="360" w:lineRule="auto"/>
        <w:ind w:firstLine="567"/>
        <w:jc w:val="both"/>
        <w:rPr>
          <w:rFonts w:ascii="Times New Roman" w:hAnsi="Times New Roman" w:cs="Times New Roman"/>
          <w:sz w:val="26"/>
          <w:szCs w:val="26"/>
        </w:rPr>
      </w:pPr>
      <w:r w:rsidRPr="00E87DDB">
        <w:rPr>
          <w:rFonts w:ascii="Times New Roman" w:hAnsi="Times New Roman" w:cs="Times New Roman"/>
          <w:sz w:val="26"/>
          <w:szCs w:val="26"/>
        </w:rPr>
        <w:t>По нашему мнению, предоставление Банком России денежных средств ОАО «АИЖК» противоречит статье 46 Федерального закона от 10 июля 2002 года № 86-ФЗ «О Центральном банке Российской Федерации (Банке России)».</w:t>
      </w:r>
    </w:p>
    <w:p w:rsidR="00E87DDB" w:rsidRDefault="00E87DDB" w:rsidP="005A5F1F">
      <w:pPr>
        <w:spacing w:after="0" w:line="360" w:lineRule="auto"/>
        <w:ind w:firstLine="567"/>
        <w:jc w:val="both"/>
        <w:rPr>
          <w:rFonts w:ascii="Times New Roman" w:hAnsi="Times New Roman" w:cs="Times New Roman"/>
          <w:sz w:val="26"/>
          <w:szCs w:val="26"/>
        </w:rPr>
      </w:pPr>
    </w:p>
    <w:p w:rsidR="00807445" w:rsidRPr="00807445" w:rsidRDefault="00807445" w:rsidP="00807445">
      <w:pPr>
        <w:spacing w:after="0" w:line="360" w:lineRule="auto"/>
        <w:jc w:val="both"/>
        <w:rPr>
          <w:rFonts w:ascii="Times New Roman" w:hAnsi="Times New Roman" w:cs="Times New Roman"/>
          <w:b/>
          <w:sz w:val="26"/>
          <w:szCs w:val="26"/>
        </w:rPr>
      </w:pPr>
      <w:r w:rsidRPr="00B527E3">
        <w:rPr>
          <w:rFonts w:ascii="Times New Roman" w:hAnsi="Times New Roman" w:cs="Times New Roman"/>
          <w:b/>
          <w:sz w:val="26"/>
          <w:szCs w:val="26"/>
        </w:rPr>
        <w:t xml:space="preserve">Предложение </w:t>
      </w:r>
      <w:r>
        <w:rPr>
          <w:rFonts w:ascii="Times New Roman" w:hAnsi="Times New Roman" w:cs="Times New Roman"/>
          <w:b/>
          <w:sz w:val="26"/>
          <w:szCs w:val="26"/>
        </w:rPr>
        <w:t xml:space="preserve">13. </w:t>
      </w:r>
      <w:r w:rsidRPr="00807445">
        <w:rPr>
          <w:rFonts w:ascii="Times New Roman" w:hAnsi="Times New Roman" w:cs="Times New Roman"/>
          <w:sz w:val="26"/>
          <w:szCs w:val="26"/>
        </w:rPr>
        <w:t>Срочное снижение ключевой ставки или объявление о возможности ее пересмотра в сторону снижения не позже января 2015 года в связи со стабилизацией валютного рынка</w:t>
      </w:r>
    </w:p>
    <w:p w:rsidR="00807445" w:rsidRDefault="00807445" w:rsidP="0080744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Принимая во внимание то, что для большинства предприятий и организаций кредитные ставки, определяемые исходя из стоимости денег, заданной Банком России, означают падение рентабельности до отрицательных значений, а, следовательно, банкротство, необходимо остановить процесс пересмотра ставок в сторону повышения, снизив стоимость денег. Применение мер нерыночного характера, принятых Президентом, Правительством и Банком России для стабилизации валютного рынка, в настоящее время позволило стабилизировать ситуацию. В этой связи представляется целесообразным предпринять действия по сокращению стоимости денег на рынке, которая увеличилась кратно повышению ключевой ставки. Очевидно, что снижение ключевой ставки, вкупе с мерами воздействия на основных игроков, даст необходимый сигнал рынку и прекратит «процентную войну». В противном случае в следующем году страну ждет кредитный голод и банкротство существенного числа предприятий.</w:t>
      </w:r>
    </w:p>
    <w:p w:rsidR="00807445" w:rsidRDefault="00807445" w:rsidP="0080744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Обращаем также Ваше внимание на то, что резкое увеличение стоимости денег привело к отказу ряда заказчиков платить по </w:t>
      </w:r>
      <w:proofErr w:type="spellStart"/>
      <w:r>
        <w:rPr>
          <w:rFonts w:ascii="Times New Roman" w:hAnsi="Times New Roman" w:cs="Times New Roman"/>
          <w:sz w:val="26"/>
          <w:szCs w:val="26"/>
        </w:rPr>
        <w:t>госконтрактам</w:t>
      </w:r>
      <w:proofErr w:type="spellEnd"/>
      <w:r>
        <w:rPr>
          <w:rFonts w:ascii="Times New Roman" w:hAnsi="Times New Roman" w:cs="Times New Roman"/>
          <w:sz w:val="26"/>
          <w:szCs w:val="26"/>
        </w:rPr>
        <w:t xml:space="preserve">, что в свою очередь ведет к запуску гарантийных механизмов, в том числе с использованием гарантийных фондов, а, следовательно, существенным расходам бюджета, риску неисполнения </w:t>
      </w:r>
      <w:proofErr w:type="spellStart"/>
      <w:r>
        <w:rPr>
          <w:rFonts w:ascii="Times New Roman" w:hAnsi="Times New Roman" w:cs="Times New Roman"/>
          <w:sz w:val="26"/>
          <w:szCs w:val="26"/>
        </w:rPr>
        <w:t>госконтрактов</w:t>
      </w:r>
      <w:proofErr w:type="spellEnd"/>
      <w:r>
        <w:rPr>
          <w:rFonts w:ascii="Times New Roman" w:hAnsi="Times New Roman" w:cs="Times New Roman"/>
          <w:sz w:val="26"/>
          <w:szCs w:val="26"/>
        </w:rPr>
        <w:t xml:space="preserve"> и усилению кредитного риска банков.</w:t>
      </w:r>
    </w:p>
    <w:p w:rsidR="00807445" w:rsidRDefault="00807445" w:rsidP="00807445">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807445" w:rsidRPr="00807445" w:rsidRDefault="00807445" w:rsidP="00807445">
      <w:pPr>
        <w:shd w:val="clear" w:color="auto" w:fill="FFFFFF"/>
        <w:spacing w:line="413" w:lineRule="exact"/>
        <w:ind w:left="43" w:firstLine="706"/>
        <w:jc w:val="both"/>
        <w:rPr>
          <w:rFonts w:ascii="Times New Roman" w:hAnsi="Times New Roman" w:cs="Times New Roman"/>
          <w:sz w:val="26"/>
          <w:szCs w:val="26"/>
        </w:rPr>
      </w:pPr>
      <w:r w:rsidRPr="00807445">
        <w:rPr>
          <w:rFonts w:ascii="Times New Roman" w:hAnsi="Times New Roman" w:cs="Times New Roman"/>
          <w:sz w:val="26"/>
          <w:szCs w:val="26"/>
        </w:rPr>
        <w:t xml:space="preserve">В настоящее время инфляционные риски остаются высокими и </w:t>
      </w:r>
      <w:proofErr w:type="gramStart"/>
      <w:r w:rsidRPr="00807445">
        <w:rPr>
          <w:rFonts w:ascii="Times New Roman" w:hAnsi="Times New Roman" w:cs="Times New Roman"/>
          <w:sz w:val="26"/>
          <w:szCs w:val="26"/>
        </w:rPr>
        <w:t>связаны</w:t>
      </w:r>
      <w:proofErr w:type="gramEnd"/>
      <w:r w:rsidRPr="00807445">
        <w:rPr>
          <w:rFonts w:ascii="Times New Roman" w:hAnsi="Times New Roman" w:cs="Times New Roman"/>
          <w:sz w:val="26"/>
          <w:szCs w:val="26"/>
        </w:rPr>
        <w:t xml:space="preserve"> прежде</w:t>
      </w:r>
      <w:r>
        <w:rPr>
          <w:rFonts w:eastAsia="Times New Roman"/>
          <w:sz w:val="24"/>
          <w:szCs w:val="24"/>
        </w:rPr>
        <w:t xml:space="preserve"> </w:t>
      </w:r>
      <w:r w:rsidRPr="00807445">
        <w:rPr>
          <w:rFonts w:ascii="Times New Roman" w:hAnsi="Times New Roman" w:cs="Times New Roman"/>
          <w:sz w:val="26"/>
          <w:szCs w:val="26"/>
        </w:rPr>
        <w:t>всего с влиянием курсовой динамики на потребительские цены и инфляционные ожидания. Повышение ключевой ставки до 17,00% годовых с 16 декабря 2014 года и сохранение ее на данном уровне в настоящее время направлено на сдерживание инфляции и инфляционных ожиданий и обеспечение замедления роста потребительских цен до целевого уровня 4% в среднесрочной перспективе. Стабильная и низкая инфляция - важное условие для развития российской экономики. Низкая инфляция необходима для формирования предсказуемой деловой среды, является основой для низких процентных ставок в экономике, для роста инвестиций и, в конечном итоге, создает условия для структурных изменений в экономике. В связи с этим в настоящее время главная задача денежно-кредитной политики - удержать, а затем снизить темпы роста потребительских цен до приемлемых значений. Для достижения данной цели требуется жесткая денежно-кредитная политика. Такая политика необходима и для сдерживания инфляционных ожиданий. В дальнейшем при формировании устойчивой тенденции к снижению инфляции и инфляционных ожиданий Банк России будет готов начать смягчение денежно-кредитной политики.</w:t>
      </w:r>
    </w:p>
    <w:p w:rsidR="00807445" w:rsidRPr="00B527E3" w:rsidRDefault="00807445" w:rsidP="005A5F1F">
      <w:pPr>
        <w:spacing w:after="0" w:line="360" w:lineRule="auto"/>
        <w:ind w:firstLine="567"/>
        <w:jc w:val="both"/>
        <w:rPr>
          <w:rFonts w:ascii="Times New Roman" w:hAnsi="Times New Roman" w:cs="Times New Roman"/>
          <w:sz w:val="26"/>
          <w:szCs w:val="26"/>
        </w:rPr>
      </w:pPr>
    </w:p>
    <w:sectPr w:rsidR="00807445" w:rsidRPr="00B527E3" w:rsidSect="004F6E7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27" w:rsidRDefault="00EF0D27" w:rsidP="00F43EEE">
      <w:pPr>
        <w:spacing w:after="0" w:line="240" w:lineRule="auto"/>
      </w:pPr>
      <w:r>
        <w:separator/>
      </w:r>
    </w:p>
  </w:endnote>
  <w:endnote w:type="continuationSeparator" w:id="0">
    <w:p w:rsidR="00EF0D27" w:rsidRDefault="00EF0D27" w:rsidP="00F43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4361181"/>
      <w:docPartObj>
        <w:docPartGallery w:val="Page Numbers (Bottom of Page)"/>
        <w:docPartUnique/>
      </w:docPartObj>
    </w:sdtPr>
    <w:sdtContent>
      <w:p w:rsidR="00A557B7" w:rsidRPr="00A557B7" w:rsidRDefault="009A1B3E">
        <w:pPr>
          <w:pStyle w:val="a3"/>
          <w:jc w:val="right"/>
          <w:rPr>
            <w:rFonts w:ascii="Times New Roman" w:hAnsi="Times New Roman" w:cs="Times New Roman"/>
          </w:rPr>
        </w:pPr>
        <w:r w:rsidRPr="00A557B7">
          <w:rPr>
            <w:rFonts w:ascii="Times New Roman" w:hAnsi="Times New Roman" w:cs="Times New Roman"/>
          </w:rPr>
          <w:fldChar w:fldCharType="begin"/>
        </w:r>
        <w:r w:rsidR="00A557B7" w:rsidRPr="00A557B7">
          <w:rPr>
            <w:rFonts w:ascii="Times New Roman" w:hAnsi="Times New Roman" w:cs="Times New Roman"/>
          </w:rPr>
          <w:instrText xml:space="preserve"> PAGE   \* MERGEFORMAT </w:instrText>
        </w:r>
        <w:r w:rsidRPr="00A557B7">
          <w:rPr>
            <w:rFonts w:ascii="Times New Roman" w:hAnsi="Times New Roman" w:cs="Times New Roman"/>
          </w:rPr>
          <w:fldChar w:fldCharType="separate"/>
        </w:r>
        <w:r w:rsidR="00DC02E4">
          <w:rPr>
            <w:rFonts w:ascii="Times New Roman" w:hAnsi="Times New Roman" w:cs="Times New Roman"/>
            <w:noProof/>
          </w:rPr>
          <w:t>10</w:t>
        </w:r>
        <w:r w:rsidRPr="00A557B7">
          <w:rPr>
            <w:rFonts w:ascii="Times New Roman" w:hAnsi="Times New Roman" w:cs="Times New Roman"/>
          </w:rPr>
          <w:fldChar w:fldCharType="end"/>
        </w:r>
      </w:p>
    </w:sdtContent>
  </w:sdt>
  <w:p w:rsidR="00931833" w:rsidRDefault="00EF0D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27" w:rsidRDefault="00EF0D27" w:rsidP="00F43EEE">
      <w:pPr>
        <w:spacing w:after="0" w:line="240" w:lineRule="auto"/>
      </w:pPr>
      <w:r>
        <w:separator/>
      </w:r>
    </w:p>
  </w:footnote>
  <w:footnote w:type="continuationSeparator" w:id="0">
    <w:p w:rsidR="00EF0D27" w:rsidRDefault="00EF0D27" w:rsidP="00F43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0CC2"/>
    <w:multiLevelType w:val="multilevel"/>
    <w:tmpl w:val="6172BABA"/>
    <w:lvl w:ilvl="0">
      <w:start w:val="1"/>
      <w:numFmt w:val="decimal"/>
      <w:lvlText w:val="%1."/>
      <w:lvlJc w:val="left"/>
      <w:pPr>
        <w:ind w:left="961" w:hanging="360"/>
      </w:pPr>
      <w:rPr>
        <w:rFonts w:hint="default"/>
      </w:rPr>
    </w:lvl>
    <w:lvl w:ilvl="1">
      <w:start w:val="1"/>
      <w:numFmt w:val="decimal"/>
      <w:isLgl/>
      <w:lvlText w:val="%1.%2."/>
      <w:lvlJc w:val="left"/>
      <w:pPr>
        <w:ind w:left="1681" w:hanging="720"/>
      </w:pPr>
      <w:rPr>
        <w:rFonts w:hint="default"/>
      </w:rPr>
    </w:lvl>
    <w:lvl w:ilvl="2">
      <w:start w:val="1"/>
      <w:numFmt w:val="decimal"/>
      <w:isLgl/>
      <w:lvlText w:val="%1.%2.%3."/>
      <w:lvlJc w:val="left"/>
      <w:pPr>
        <w:ind w:left="2041" w:hanging="720"/>
      </w:pPr>
      <w:rPr>
        <w:rFonts w:hint="default"/>
      </w:rPr>
    </w:lvl>
    <w:lvl w:ilvl="3">
      <w:start w:val="1"/>
      <w:numFmt w:val="decimal"/>
      <w:isLgl/>
      <w:lvlText w:val="%1.%2.%3.%4."/>
      <w:lvlJc w:val="left"/>
      <w:pPr>
        <w:ind w:left="2761" w:hanging="1080"/>
      </w:pPr>
      <w:rPr>
        <w:rFonts w:hint="default"/>
      </w:rPr>
    </w:lvl>
    <w:lvl w:ilvl="4">
      <w:start w:val="1"/>
      <w:numFmt w:val="decimal"/>
      <w:isLgl/>
      <w:lvlText w:val="%1.%2.%3.%4.%5."/>
      <w:lvlJc w:val="left"/>
      <w:pPr>
        <w:ind w:left="3121" w:hanging="1080"/>
      </w:pPr>
      <w:rPr>
        <w:rFonts w:hint="default"/>
      </w:rPr>
    </w:lvl>
    <w:lvl w:ilvl="5">
      <w:start w:val="1"/>
      <w:numFmt w:val="decimal"/>
      <w:isLgl/>
      <w:lvlText w:val="%1.%2.%3.%4.%5.%6."/>
      <w:lvlJc w:val="left"/>
      <w:pPr>
        <w:ind w:left="3841" w:hanging="1440"/>
      </w:pPr>
      <w:rPr>
        <w:rFonts w:hint="default"/>
      </w:rPr>
    </w:lvl>
    <w:lvl w:ilvl="6">
      <w:start w:val="1"/>
      <w:numFmt w:val="decimal"/>
      <w:isLgl/>
      <w:lvlText w:val="%1.%2.%3.%4.%5.%6.%7."/>
      <w:lvlJc w:val="left"/>
      <w:pPr>
        <w:ind w:left="4201" w:hanging="1440"/>
      </w:pPr>
      <w:rPr>
        <w:rFonts w:hint="default"/>
      </w:rPr>
    </w:lvl>
    <w:lvl w:ilvl="7">
      <w:start w:val="1"/>
      <w:numFmt w:val="decimal"/>
      <w:isLgl/>
      <w:lvlText w:val="%1.%2.%3.%4.%5.%6.%7.%8."/>
      <w:lvlJc w:val="left"/>
      <w:pPr>
        <w:ind w:left="4921" w:hanging="1800"/>
      </w:pPr>
      <w:rPr>
        <w:rFonts w:hint="default"/>
      </w:rPr>
    </w:lvl>
    <w:lvl w:ilvl="8">
      <w:start w:val="1"/>
      <w:numFmt w:val="decimal"/>
      <w:isLgl/>
      <w:lvlText w:val="%1.%2.%3.%4.%5.%6.%7.%8.%9."/>
      <w:lvlJc w:val="left"/>
      <w:pPr>
        <w:ind w:left="5281"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495C29"/>
    <w:rsid w:val="0005618D"/>
    <w:rsid w:val="000B7C28"/>
    <w:rsid w:val="002B6043"/>
    <w:rsid w:val="002D0FEE"/>
    <w:rsid w:val="002D6570"/>
    <w:rsid w:val="003B61F4"/>
    <w:rsid w:val="004218C1"/>
    <w:rsid w:val="00495C29"/>
    <w:rsid w:val="004F6E7A"/>
    <w:rsid w:val="0053693E"/>
    <w:rsid w:val="00561175"/>
    <w:rsid w:val="005A5F1F"/>
    <w:rsid w:val="00603C3D"/>
    <w:rsid w:val="00610E78"/>
    <w:rsid w:val="0062468F"/>
    <w:rsid w:val="00685759"/>
    <w:rsid w:val="006D6184"/>
    <w:rsid w:val="007233C3"/>
    <w:rsid w:val="00807445"/>
    <w:rsid w:val="0091189B"/>
    <w:rsid w:val="0096630B"/>
    <w:rsid w:val="009A0C34"/>
    <w:rsid w:val="009A1B3E"/>
    <w:rsid w:val="00A557B7"/>
    <w:rsid w:val="00AE69AB"/>
    <w:rsid w:val="00B26D7D"/>
    <w:rsid w:val="00B527E3"/>
    <w:rsid w:val="00B773A5"/>
    <w:rsid w:val="00C4272C"/>
    <w:rsid w:val="00DC02E4"/>
    <w:rsid w:val="00DE5D92"/>
    <w:rsid w:val="00E14483"/>
    <w:rsid w:val="00E34CF4"/>
    <w:rsid w:val="00E356EA"/>
    <w:rsid w:val="00E8431D"/>
    <w:rsid w:val="00E87DDB"/>
    <w:rsid w:val="00EB695B"/>
    <w:rsid w:val="00EE780B"/>
    <w:rsid w:val="00EF0D27"/>
    <w:rsid w:val="00F43EEE"/>
    <w:rsid w:val="00F9139F"/>
    <w:rsid w:val="00F937F1"/>
    <w:rsid w:val="00FA49C1"/>
    <w:rsid w:val="00FE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29"/>
    <w:pPr>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5C2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5C29"/>
  </w:style>
  <w:style w:type="paragraph" w:styleId="a5">
    <w:name w:val="List Paragraph"/>
    <w:basedOn w:val="a"/>
    <w:uiPriority w:val="34"/>
    <w:qFormat/>
    <w:rsid w:val="00E34CF4"/>
    <w:pPr>
      <w:ind w:left="720"/>
      <w:contextualSpacing/>
    </w:pPr>
  </w:style>
  <w:style w:type="paragraph" w:styleId="a6">
    <w:name w:val="header"/>
    <w:basedOn w:val="a"/>
    <w:link w:val="a7"/>
    <w:uiPriority w:val="99"/>
    <w:semiHidden/>
    <w:unhideWhenUsed/>
    <w:rsid w:val="00A557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57B7"/>
  </w:style>
</w:styles>
</file>

<file path=word/webSettings.xml><?xml version="1.0" encoding="utf-8"?>
<w:webSettings xmlns:r="http://schemas.openxmlformats.org/officeDocument/2006/relationships" xmlns:w="http://schemas.openxmlformats.org/wordprocessingml/2006/main">
  <w:divs>
    <w:div w:id="1273518395">
      <w:bodyDiv w:val="1"/>
      <w:marLeft w:val="0"/>
      <w:marRight w:val="0"/>
      <w:marTop w:val="0"/>
      <w:marBottom w:val="0"/>
      <w:divBdr>
        <w:top w:val="none" w:sz="0" w:space="0" w:color="auto"/>
        <w:left w:val="none" w:sz="0" w:space="0" w:color="auto"/>
        <w:bottom w:val="none" w:sz="0" w:space="0" w:color="auto"/>
        <w:right w:val="none" w:sz="0" w:space="0" w:color="auto"/>
      </w:divBdr>
      <w:divsChild>
        <w:div w:id="1442067641">
          <w:marLeft w:val="0"/>
          <w:marRight w:val="0"/>
          <w:marTop w:val="0"/>
          <w:marBottom w:val="0"/>
          <w:divBdr>
            <w:top w:val="none" w:sz="0" w:space="0" w:color="auto"/>
            <w:left w:val="none" w:sz="0" w:space="0" w:color="auto"/>
            <w:bottom w:val="none" w:sz="0" w:space="0" w:color="auto"/>
            <w:right w:val="none" w:sz="0" w:space="0" w:color="auto"/>
          </w:divBdr>
        </w:div>
        <w:div w:id="742072203">
          <w:marLeft w:val="0"/>
          <w:marRight w:val="0"/>
          <w:marTop w:val="0"/>
          <w:marBottom w:val="0"/>
          <w:divBdr>
            <w:top w:val="none" w:sz="0" w:space="0" w:color="auto"/>
            <w:left w:val="none" w:sz="0" w:space="0" w:color="auto"/>
            <w:bottom w:val="none" w:sz="0" w:space="0" w:color="auto"/>
            <w:right w:val="none" w:sz="0" w:space="0" w:color="auto"/>
          </w:divBdr>
        </w:div>
        <w:div w:id="844976253">
          <w:marLeft w:val="0"/>
          <w:marRight w:val="0"/>
          <w:marTop w:val="0"/>
          <w:marBottom w:val="0"/>
          <w:divBdr>
            <w:top w:val="none" w:sz="0" w:space="0" w:color="auto"/>
            <w:left w:val="none" w:sz="0" w:space="0" w:color="auto"/>
            <w:bottom w:val="none" w:sz="0" w:space="0" w:color="auto"/>
            <w:right w:val="none" w:sz="0" w:space="0" w:color="auto"/>
          </w:divBdr>
        </w:div>
        <w:div w:id="2034644620">
          <w:marLeft w:val="0"/>
          <w:marRight w:val="0"/>
          <w:marTop w:val="0"/>
          <w:marBottom w:val="0"/>
          <w:divBdr>
            <w:top w:val="none" w:sz="0" w:space="0" w:color="auto"/>
            <w:left w:val="none" w:sz="0" w:space="0" w:color="auto"/>
            <w:bottom w:val="none" w:sz="0" w:space="0" w:color="auto"/>
            <w:right w:val="none" w:sz="0" w:space="0" w:color="auto"/>
          </w:divBdr>
        </w:div>
        <w:div w:id="949245465">
          <w:marLeft w:val="0"/>
          <w:marRight w:val="0"/>
          <w:marTop w:val="0"/>
          <w:marBottom w:val="0"/>
          <w:divBdr>
            <w:top w:val="none" w:sz="0" w:space="0" w:color="auto"/>
            <w:left w:val="none" w:sz="0" w:space="0" w:color="auto"/>
            <w:bottom w:val="none" w:sz="0" w:space="0" w:color="auto"/>
            <w:right w:val="none" w:sz="0" w:space="0" w:color="auto"/>
          </w:divBdr>
        </w:div>
        <w:div w:id="502208366">
          <w:marLeft w:val="0"/>
          <w:marRight w:val="0"/>
          <w:marTop w:val="0"/>
          <w:marBottom w:val="0"/>
          <w:divBdr>
            <w:top w:val="none" w:sz="0" w:space="0" w:color="auto"/>
            <w:left w:val="none" w:sz="0" w:space="0" w:color="auto"/>
            <w:bottom w:val="none" w:sz="0" w:space="0" w:color="auto"/>
            <w:right w:val="none" w:sz="0" w:space="0" w:color="auto"/>
          </w:divBdr>
        </w:div>
        <w:div w:id="14013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9327-10CD-443A-AAC6-62E06BCB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22</cp:revision>
  <dcterms:created xsi:type="dcterms:W3CDTF">2015-02-18T11:27:00Z</dcterms:created>
  <dcterms:modified xsi:type="dcterms:W3CDTF">2015-02-19T12:16:00Z</dcterms:modified>
</cp:coreProperties>
</file>