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4B" w:rsidRPr="006C06DD" w:rsidRDefault="00225BFA" w:rsidP="00F63777">
      <w:pPr>
        <w:ind w:left="-180"/>
        <w:rPr>
          <w:rFonts w:eastAsia="Arial Unicode MS"/>
          <w:bCs/>
          <w:sz w:val="32"/>
          <w:szCs w:val="32"/>
        </w:rPr>
      </w:pPr>
      <w:r w:rsidRPr="00225BFA">
        <w:rPr>
          <w:rFonts w:eastAsia="Arial Unicode MS"/>
          <w:bCs/>
          <w:sz w:val="32"/>
          <w:szCs w:val="32"/>
        </w:rPr>
        <w:t xml:space="preserve">2 </w:t>
      </w:r>
      <w:r w:rsidR="006C06DD">
        <w:rPr>
          <w:rFonts w:eastAsia="Arial Unicode MS"/>
          <w:bCs/>
          <w:sz w:val="32"/>
          <w:szCs w:val="32"/>
        </w:rPr>
        <w:t>Рынок микрофинансирования</w:t>
      </w:r>
    </w:p>
    <w:p w:rsidR="0023234B" w:rsidRPr="00E87243" w:rsidRDefault="0023234B" w:rsidP="00F63777">
      <w:pPr>
        <w:ind w:left="-180"/>
        <w:rPr>
          <w:rFonts w:eastAsia="Arial Unicode MS"/>
          <w:bCs/>
          <w:sz w:val="32"/>
          <w:szCs w:val="32"/>
        </w:rPr>
      </w:pPr>
    </w:p>
    <w:p w:rsidR="0023234B" w:rsidRPr="00E87243" w:rsidRDefault="0023234B" w:rsidP="00386590">
      <w:pPr>
        <w:ind w:left="-180"/>
        <w:jc w:val="both"/>
        <w:rPr>
          <w:rFonts w:eastAsia="Arial Unicode MS"/>
          <w:bCs/>
          <w:sz w:val="32"/>
          <w:szCs w:val="32"/>
        </w:rPr>
      </w:pPr>
      <w:r w:rsidRPr="00E87243">
        <w:rPr>
          <w:rFonts w:eastAsia="Arial Unicode MS"/>
          <w:bCs/>
          <w:sz w:val="32"/>
          <w:szCs w:val="32"/>
        </w:rPr>
        <w:t>Целевая модель российского рынка микрофинанс</w:t>
      </w:r>
      <w:r w:rsidR="006C06DD">
        <w:rPr>
          <w:rFonts w:eastAsia="Arial Unicode MS"/>
          <w:bCs/>
          <w:sz w:val="32"/>
          <w:szCs w:val="32"/>
        </w:rPr>
        <w:t>ирования</w:t>
      </w:r>
      <w:r w:rsidRPr="00E87243">
        <w:rPr>
          <w:rFonts w:eastAsia="Arial Unicode MS"/>
          <w:bCs/>
          <w:sz w:val="32"/>
          <w:szCs w:val="32"/>
        </w:rPr>
        <w:t xml:space="preserve"> в 2020 году</w:t>
      </w:r>
    </w:p>
    <w:p w:rsidR="0023234B" w:rsidRPr="00E87243" w:rsidRDefault="0023234B" w:rsidP="00F63777">
      <w:pPr>
        <w:ind w:left="-180"/>
        <w:rPr>
          <w:rFonts w:eastAsia="Arial Unicode MS"/>
          <w:bCs/>
          <w:sz w:val="32"/>
          <w:szCs w:val="32"/>
        </w:rPr>
      </w:pPr>
    </w:p>
    <w:p w:rsidR="00000A7A" w:rsidRPr="00D350C0" w:rsidRDefault="00000A7A" w:rsidP="005E1DB8">
      <w:pPr>
        <w:ind w:left="-180"/>
        <w:jc w:val="both"/>
      </w:pPr>
      <w:r w:rsidRPr="00D350C0">
        <w:t>Появление и активный</w:t>
      </w:r>
      <w:r w:rsidR="00AF379E">
        <w:t xml:space="preserve"> рост рынка микрофинансирования (здесь и далее под рынком микрофинансирования понимается рынок, на котором работают </w:t>
      </w:r>
      <w:proofErr w:type="spellStart"/>
      <w:r w:rsidR="00AF379E">
        <w:t>микрофинансовые</w:t>
      </w:r>
      <w:proofErr w:type="spellEnd"/>
      <w:r w:rsidR="00AF379E">
        <w:t xml:space="preserve"> организации) </w:t>
      </w:r>
      <w:r w:rsidRPr="00D350C0">
        <w:t>в России обусловлен</w:t>
      </w:r>
      <w:r w:rsidR="00FA01A7" w:rsidRPr="00D350C0">
        <w:t>ы</w:t>
      </w:r>
      <w:r w:rsidRPr="00D350C0">
        <w:t xml:space="preserve"> отсутствием у части экономических агентов доступа к более выгодной альтернативе в виде банковского кредитования. </w:t>
      </w:r>
      <w:r w:rsidR="00FA01A7" w:rsidRPr="00D350C0">
        <w:t>Это</w:t>
      </w:r>
      <w:r w:rsidRPr="00D350C0">
        <w:t xml:space="preserve"> объясняется следующими ключевыми причинами:</w:t>
      </w:r>
    </w:p>
    <w:p w:rsidR="00000A7A" w:rsidRPr="00D350C0" w:rsidRDefault="00FA01A7" w:rsidP="00FA01A7">
      <w:pPr>
        <w:numPr>
          <w:ilvl w:val="0"/>
          <w:numId w:val="16"/>
        </w:numPr>
        <w:jc w:val="both"/>
      </w:pPr>
      <w:r w:rsidRPr="00D350C0">
        <w:t xml:space="preserve">Низкая финансовая грамотность ключевых клиентов МФО (физические лица, </w:t>
      </w:r>
      <w:r w:rsidR="001750B1" w:rsidRPr="00D350C0">
        <w:t xml:space="preserve">индивидуальные предприниматели, представители </w:t>
      </w:r>
      <w:proofErr w:type="spellStart"/>
      <w:r w:rsidR="001750B1" w:rsidRPr="00D350C0">
        <w:t>микробизнеса</w:t>
      </w:r>
      <w:proofErr w:type="spellEnd"/>
      <w:r w:rsidRPr="00D350C0">
        <w:t>);</w:t>
      </w:r>
    </w:p>
    <w:p w:rsidR="00FA01A7" w:rsidRPr="00D350C0" w:rsidRDefault="00FA01A7" w:rsidP="00FA01A7">
      <w:pPr>
        <w:numPr>
          <w:ilvl w:val="0"/>
          <w:numId w:val="16"/>
        </w:numPr>
        <w:jc w:val="both"/>
      </w:pPr>
      <w:r w:rsidRPr="00D350C0">
        <w:t>Низкий уровень благосостояния значительной части населения;</w:t>
      </w:r>
    </w:p>
    <w:p w:rsidR="00FA01A7" w:rsidRPr="00D350C0" w:rsidRDefault="00FA01A7" w:rsidP="00FA01A7">
      <w:pPr>
        <w:numPr>
          <w:ilvl w:val="0"/>
          <w:numId w:val="16"/>
        </w:numPr>
        <w:jc w:val="both"/>
      </w:pPr>
      <w:r w:rsidRPr="00D350C0">
        <w:t>Отсутствие либо ограниченное число офисов банков в отдельных регионах;</w:t>
      </w:r>
    </w:p>
    <w:p w:rsidR="00000A7A" w:rsidRPr="00D350C0" w:rsidRDefault="00FA01A7" w:rsidP="00AA4B93">
      <w:pPr>
        <w:numPr>
          <w:ilvl w:val="0"/>
          <w:numId w:val="16"/>
        </w:numPr>
        <w:jc w:val="both"/>
      </w:pPr>
      <w:r w:rsidRPr="00D350C0">
        <w:t>Несоответствие заемщиков требованиям банков (наличие плохой кредитной истории, отсутствие возможности подтвердить зарплату, незначительный период ведения бизнеса, отсутствие полноценн</w:t>
      </w:r>
      <w:r w:rsidR="001750B1" w:rsidRPr="00D350C0">
        <w:t>ой финансовой отчетности и др.).</w:t>
      </w:r>
    </w:p>
    <w:p w:rsidR="00DE677C" w:rsidRDefault="0023234B" w:rsidP="00DE677C">
      <w:pPr>
        <w:ind w:left="-180"/>
        <w:jc w:val="both"/>
        <w:rPr>
          <w:rFonts w:eastAsia="Calibri"/>
        </w:rPr>
      </w:pPr>
      <w:r w:rsidRPr="00D350C0">
        <w:t xml:space="preserve">Целевая модель развития рынка </w:t>
      </w:r>
      <w:proofErr w:type="spellStart"/>
      <w:r w:rsidRPr="00D350C0">
        <w:t>микрофинансовых</w:t>
      </w:r>
      <w:proofErr w:type="spellEnd"/>
      <w:r w:rsidRPr="00D350C0">
        <w:t xml:space="preserve"> организаций</w:t>
      </w:r>
      <w:r w:rsidR="00AA4B93" w:rsidRPr="00D350C0">
        <w:t xml:space="preserve"> предполагает устранение либо </w:t>
      </w:r>
      <w:r w:rsidR="008027F4" w:rsidRPr="00D350C0">
        <w:t xml:space="preserve">значительное </w:t>
      </w:r>
      <w:r w:rsidR="00AA4B93" w:rsidRPr="00D350C0">
        <w:t>снижение влияния указанных выше факторов</w:t>
      </w:r>
      <w:r w:rsidR="008027F4" w:rsidRPr="00D350C0">
        <w:t xml:space="preserve">. Это будет достигаться как </w:t>
      </w:r>
      <w:r w:rsidR="00AA4B93" w:rsidRPr="00D350C0">
        <w:t>вследствие проводимой государством экономической политики</w:t>
      </w:r>
      <w:r w:rsidR="008027F4" w:rsidRPr="00D350C0">
        <w:t xml:space="preserve"> (повышение доходов населения, повышение уровня финансовой грамотности, сокращение доли «серых» зарплат и «теневого» бизнеса)</w:t>
      </w:r>
      <w:r w:rsidR="00AA4B93" w:rsidRPr="00D350C0">
        <w:t>, так и в связи с реализацией мер по развитию банковского сектора</w:t>
      </w:r>
      <w:r w:rsidR="008027F4" w:rsidRPr="00D350C0">
        <w:t xml:space="preserve"> (в частности, устранение диспропорций в обеспечении регионов банковскими услугами). В связи с этим</w:t>
      </w:r>
      <w:r w:rsidR="00290BA8" w:rsidRPr="00D350C0">
        <w:t xml:space="preserve"> спрос на услуги МФО со стороны </w:t>
      </w:r>
      <w:r w:rsidR="001750B1" w:rsidRPr="00D350C0">
        <w:t>физических лиц, не занимающихся бизнесом,</w:t>
      </w:r>
      <w:r w:rsidR="00290BA8" w:rsidRPr="00D350C0">
        <w:t xml:space="preserve"> будет </w:t>
      </w:r>
      <w:r w:rsidR="001750B1" w:rsidRPr="00D350C0">
        <w:t>расти все медленнее, а со временем – даже начнет снижаться</w:t>
      </w:r>
      <w:r w:rsidR="00290BA8" w:rsidRPr="00D350C0">
        <w:t xml:space="preserve">. Исключение – та часть заемщиков, которым требуется </w:t>
      </w:r>
      <w:r w:rsidR="00290BA8" w:rsidRPr="00D350C0">
        <w:rPr>
          <w:rFonts w:eastAsia="Calibri"/>
        </w:rPr>
        <w:t>упрощенный режим оформления займа и высокая скорость предоставления услуги. Т.е. такие заемщики имеют возможность получить кредит в банке, а к услугам МФО прибегают в случаях, требующих срочного финансирования.</w:t>
      </w:r>
      <w:r w:rsidR="00DE677C">
        <w:rPr>
          <w:rFonts w:eastAsia="Calibri"/>
        </w:rPr>
        <w:t xml:space="preserve"> Описанные выше факторы определяют цели развития рынка микрофинансирования</w:t>
      </w:r>
      <w:r w:rsidR="00290BA8" w:rsidRPr="00D350C0">
        <w:rPr>
          <w:rFonts w:eastAsia="Calibri"/>
        </w:rPr>
        <w:t xml:space="preserve">  </w:t>
      </w:r>
    </w:p>
    <w:p w:rsidR="00DE677C" w:rsidRDefault="00DE677C" w:rsidP="00DE677C">
      <w:pPr>
        <w:ind w:left="-180"/>
        <w:jc w:val="both"/>
        <w:rPr>
          <w:b/>
          <w:noProof/>
          <w:highlight w:val="yellow"/>
          <w:u w:val="single"/>
        </w:rPr>
      </w:pPr>
    </w:p>
    <w:p w:rsidR="00DE677C" w:rsidRPr="00225BFA" w:rsidRDefault="00DE677C" w:rsidP="00DE677C">
      <w:pPr>
        <w:ind w:left="-180"/>
        <w:jc w:val="both"/>
        <w:rPr>
          <w:rFonts w:eastAsia="Calibri"/>
        </w:rPr>
      </w:pPr>
      <w:r w:rsidRPr="00225BFA">
        <w:rPr>
          <w:b/>
          <w:noProof/>
          <w:u w:val="single"/>
        </w:rPr>
        <w:t>Цель рынка</w:t>
      </w:r>
    </w:p>
    <w:p w:rsidR="008027F4" w:rsidRPr="00225BFA" w:rsidRDefault="008027F4" w:rsidP="008027F4">
      <w:pPr>
        <w:numPr>
          <w:ilvl w:val="0"/>
          <w:numId w:val="17"/>
        </w:numPr>
        <w:jc w:val="both"/>
      </w:pPr>
      <w:r w:rsidRPr="00225BFA">
        <w:t>Упрощение доступа к финансированию начинающих субъектов малого предпринимательства (так называемых «</w:t>
      </w:r>
      <w:proofErr w:type="spellStart"/>
      <w:r w:rsidRPr="00225BFA">
        <w:t>стартапов</w:t>
      </w:r>
      <w:proofErr w:type="spellEnd"/>
      <w:r w:rsidRPr="00225BFA">
        <w:t>»);</w:t>
      </w:r>
    </w:p>
    <w:p w:rsidR="008027F4" w:rsidRPr="00225BFA" w:rsidRDefault="008027F4" w:rsidP="008027F4">
      <w:pPr>
        <w:numPr>
          <w:ilvl w:val="0"/>
          <w:numId w:val="17"/>
        </w:numPr>
        <w:jc w:val="both"/>
      </w:pPr>
      <w:r w:rsidRPr="00225BFA">
        <w:t>Создание положительной кредитной истории для получения возможности в дальнейшем привлекать заемные средства через банковский сектор</w:t>
      </w:r>
      <w:r w:rsidR="00290BA8" w:rsidRPr="00225BFA">
        <w:t>.</w:t>
      </w:r>
    </w:p>
    <w:p w:rsidR="00DE677C" w:rsidRPr="00225BFA" w:rsidRDefault="00290BA8" w:rsidP="00DE677C">
      <w:pPr>
        <w:ind w:left="-180"/>
        <w:jc w:val="both"/>
      </w:pPr>
      <w:proofErr w:type="spellStart"/>
      <w:r w:rsidRPr="00225BFA">
        <w:t>М</w:t>
      </w:r>
      <w:r w:rsidR="0023234B" w:rsidRPr="00225BFA">
        <w:t>икрофинансовый</w:t>
      </w:r>
      <w:proofErr w:type="spellEnd"/>
      <w:r w:rsidR="0023234B" w:rsidRPr="00225BFA">
        <w:t xml:space="preserve"> рынок должен рассматриваться в первую очередь как проводник финансовых ресурсов для малого и </w:t>
      </w:r>
      <w:proofErr w:type="spellStart"/>
      <w:r w:rsidR="0023234B" w:rsidRPr="00225BFA">
        <w:t>микробизнеса</w:t>
      </w:r>
      <w:proofErr w:type="spellEnd"/>
      <w:r w:rsidR="0023234B" w:rsidRPr="00225BFA">
        <w:t xml:space="preserve">, </w:t>
      </w:r>
      <w:r w:rsidRPr="00225BFA">
        <w:t>поэтому</w:t>
      </w:r>
      <w:r w:rsidR="0023234B" w:rsidRPr="00225BFA">
        <w:t xml:space="preserve"> регулирование данного рынка необходимо направить на повышение доступности займов для данной категории экономических агентов. Масштабы же </w:t>
      </w:r>
      <w:proofErr w:type="spellStart"/>
      <w:r w:rsidR="0023234B" w:rsidRPr="00225BFA">
        <w:t>микрозаймов</w:t>
      </w:r>
      <w:proofErr w:type="spellEnd"/>
      <w:r w:rsidR="0023234B" w:rsidRPr="00225BFA">
        <w:t xml:space="preserve"> населению должны быть ограничены, в том числе за счет более жестких подходов МФО к оценке финансового положения таких заемщиков. </w:t>
      </w:r>
    </w:p>
    <w:p w:rsidR="00DE677C" w:rsidRPr="00225BFA" w:rsidRDefault="00DE677C" w:rsidP="00DE677C">
      <w:pPr>
        <w:ind w:left="-180"/>
        <w:jc w:val="both"/>
      </w:pPr>
    </w:p>
    <w:p w:rsidR="00DE677C" w:rsidRPr="00225BFA" w:rsidRDefault="00DE677C" w:rsidP="00DE677C">
      <w:pPr>
        <w:ind w:left="-180"/>
        <w:jc w:val="both"/>
        <w:rPr>
          <w:b/>
          <w:u w:val="single"/>
        </w:rPr>
      </w:pPr>
      <w:r w:rsidRPr="00225BFA">
        <w:rPr>
          <w:b/>
          <w:u w:val="single"/>
        </w:rPr>
        <w:t>Существующие ключевые ограничения для развития рынка микрофинансирования</w:t>
      </w:r>
    </w:p>
    <w:p w:rsidR="00E32ED2" w:rsidRPr="00225BFA" w:rsidRDefault="00E32ED2" w:rsidP="00E32ED2">
      <w:pPr>
        <w:numPr>
          <w:ilvl w:val="0"/>
          <w:numId w:val="17"/>
        </w:numPr>
        <w:jc w:val="both"/>
      </w:pPr>
      <w:r w:rsidRPr="00225BFA">
        <w:t xml:space="preserve">существенная доля нерегулируемого («теневого») рынка </w:t>
      </w:r>
      <w:proofErr w:type="spellStart"/>
      <w:r w:rsidRPr="00225BFA">
        <w:t>микрозаймов</w:t>
      </w:r>
      <w:proofErr w:type="spellEnd"/>
      <w:r w:rsidRPr="00225BFA">
        <w:t>;</w:t>
      </w:r>
    </w:p>
    <w:p w:rsidR="00E32ED2" w:rsidRPr="00225BFA" w:rsidRDefault="00E32ED2" w:rsidP="00E32ED2">
      <w:pPr>
        <w:numPr>
          <w:ilvl w:val="0"/>
          <w:numId w:val="17"/>
        </w:numPr>
        <w:jc w:val="both"/>
      </w:pPr>
      <w:r w:rsidRPr="00225BFA">
        <w:t xml:space="preserve">диспропорции в структуре портфеля </w:t>
      </w:r>
      <w:proofErr w:type="spellStart"/>
      <w:r w:rsidRPr="00225BFA">
        <w:t>микрозаймов</w:t>
      </w:r>
      <w:proofErr w:type="spellEnd"/>
      <w:r w:rsidRPr="00225BFA">
        <w:t xml:space="preserve"> (преобладание </w:t>
      </w:r>
      <w:proofErr w:type="gramStart"/>
      <w:r w:rsidRPr="00225BFA">
        <w:t>потребительских</w:t>
      </w:r>
      <w:proofErr w:type="gramEnd"/>
      <w:r w:rsidRPr="00225BFA">
        <w:t xml:space="preserve"> </w:t>
      </w:r>
      <w:proofErr w:type="spellStart"/>
      <w:r w:rsidRPr="00225BFA">
        <w:t>микрозаймов</w:t>
      </w:r>
      <w:proofErr w:type="spellEnd"/>
      <w:r w:rsidRPr="00225BFA">
        <w:t>);</w:t>
      </w:r>
    </w:p>
    <w:p w:rsidR="00E32ED2" w:rsidRPr="00225BFA" w:rsidRDefault="00E32ED2" w:rsidP="00E32ED2">
      <w:pPr>
        <w:numPr>
          <w:ilvl w:val="0"/>
          <w:numId w:val="17"/>
        </w:numPr>
        <w:jc w:val="both"/>
      </w:pPr>
      <w:r w:rsidRPr="00225BFA">
        <w:t xml:space="preserve">недостаточная привлекательность ведения деятельности на регулируемом рынке МФО; </w:t>
      </w:r>
    </w:p>
    <w:p w:rsidR="00E32ED2" w:rsidRPr="00225BFA" w:rsidRDefault="00E32ED2" w:rsidP="00E32ED2">
      <w:pPr>
        <w:numPr>
          <w:ilvl w:val="0"/>
          <w:numId w:val="17"/>
        </w:numPr>
        <w:jc w:val="both"/>
      </w:pPr>
      <w:r w:rsidRPr="00225BFA">
        <w:t>ограниченные источники рыночного фондирования МФО;</w:t>
      </w:r>
    </w:p>
    <w:p w:rsidR="00E32ED2" w:rsidRPr="00225BFA" w:rsidRDefault="00E32ED2" w:rsidP="00E32ED2">
      <w:pPr>
        <w:numPr>
          <w:ilvl w:val="0"/>
          <w:numId w:val="17"/>
        </w:numPr>
        <w:jc w:val="both"/>
      </w:pPr>
      <w:r w:rsidRPr="00225BFA">
        <w:t>низкая инвестиционная привлекательность МФО;</w:t>
      </w:r>
    </w:p>
    <w:p w:rsidR="00E32ED2" w:rsidRPr="00225BFA" w:rsidRDefault="00E32ED2" w:rsidP="00E32ED2">
      <w:pPr>
        <w:numPr>
          <w:ilvl w:val="0"/>
          <w:numId w:val="17"/>
        </w:numPr>
        <w:jc w:val="both"/>
      </w:pPr>
      <w:r w:rsidRPr="00225BFA">
        <w:t>низкая прозрачность деятельности большинства МФО;</w:t>
      </w:r>
    </w:p>
    <w:p w:rsidR="00E32ED2" w:rsidRPr="00225BFA" w:rsidRDefault="00E32ED2" w:rsidP="00E32ED2">
      <w:pPr>
        <w:numPr>
          <w:ilvl w:val="0"/>
          <w:numId w:val="17"/>
        </w:numPr>
        <w:jc w:val="both"/>
      </w:pPr>
      <w:r w:rsidRPr="00225BFA">
        <w:t>отсутствие специальных отраслевых стандартов по ведению бухгалтерского учета;</w:t>
      </w:r>
    </w:p>
    <w:p w:rsidR="00E32ED2" w:rsidRPr="00225BFA" w:rsidRDefault="00E32ED2" w:rsidP="00E32ED2">
      <w:pPr>
        <w:numPr>
          <w:ilvl w:val="0"/>
          <w:numId w:val="17"/>
        </w:numPr>
        <w:jc w:val="both"/>
      </w:pPr>
      <w:r w:rsidRPr="00225BFA">
        <w:t>отсутствие обязательной практики составления отчетности в соответствии с МСФО;</w:t>
      </w:r>
    </w:p>
    <w:p w:rsidR="00E32ED2" w:rsidRPr="00225BFA" w:rsidRDefault="00E32ED2" w:rsidP="00E32ED2">
      <w:pPr>
        <w:numPr>
          <w:ilvl w:val="0"/>
          <w:numId w:val="17"/>
        </w:numPr>
        <w:jc w:val="both"/>
      </w:pPr>
      <w:r w:rsidRPr="00225BFA">
        <w:lastRenderedPageBreak/>
        <w:t>отсутствие делегированного надзора за рынком на базе развития института саморегулирования (СРО);</w:t>
      </w:r>
    </w:p>
    <w:p w:rsidR="00E32ED2" w:rsidRPr="00225BFA" w:rsidRDefault="00E32ED2" w:rsidP="00E32ED2">
      <w:pPr>
        <w:numPr>
          <w:ilvl w:val="0"/>
          <w:numId w:val="17"/>
        </w:numPr>
        <w:jc w:val="both"/>
      </w:pPr>
      <w:r w:rsidRPr="00225BFA">
        <w:t>отсутствие единых стандартов по оценке рисков, генерируемых МФО;</w:t>
      </w:r>
    </w:p>
    <w:p w:rsidR="00E32ED2" w:rsidRPr="00225BFA" w:rsidRDefault="00E32ED2" w:rsidP="00E32ED2">
      <w:pPr>
        <w:numPr>
          <w:ilvl w:val="0"/>
          <w:numId w:val="17"/>
        </w:numPr>
        <w:jc w:val="both"/>
      </w:pPr>
      <w:r w:rsidRPr="00225BFA">
        <w:t>отсутствие единых стандартов по работе с просроченной задолженностью.</w:t>
      </w:r>
    </w:p>
    <w:p w:rsidR="0023234B" w:rsidRPr="00225BFA" w:rsidRDefault="0023234B" w:rsidP="005E1DB8">
      <w:pPr>
        <w:ind w:left="-180"/>
        <w:jc w:val="both"/>
      </w:pPr>
    </w:p>
    <w:p w:rsidR="0023234B" w:rsidRPr="00225BFA" w:rsidRDefault="0023234B" w:rsidP="005E1DB8">
      <w:pPr>
        <w:ind w:left="-180"/>
        <w:jc w:val="both"/>
        <w:rPr>
          <w:b/>
          <w:u w:val="single"/>
        </w:rPr>
      </w:pPr>
      <w:r w:rsidRPr="00225BFA">
        <w:rPr>
          <w:b/>
          <w:u w:val="single"/>
        </w:rPr>
        <w:t>Количественные показатели целевой модели</w:t>
      </w:r>
    </w:p>
    <w:p w:rsidR="0023234B" w:rsidRPr="00225BFA" w:rsidRDefault="0023234B" w:rsidP="005E1DB8">
      <w:pPr>
        <w:ind w:left="-180"/>
        <w:jc w:val="both"/>
      </w:pPr>
    </w:p>
    <w:p w:rsidR="0023234B" w:rsidRPr="00225BFA" w:rsidRDefault="0023234B" w:rsidP="006F1CFA">
      <w:pPr>
        <w:ind w:left="-180"/>
        <w:jc w:val="center"/>
        <w:rPr>
          <w:rStyle w:val="ab"/>
          <w:b w:val="0"/>
          <w:i/>
        </w:rPr>
      </w:pPr>
      <w:r w:rsidRPr="00225BFA">
        <w:rPr>
          <w:rStyle w:val="ab"/>
          <w:i/>
        </w:rPr>
        <w:t xml:space="preserve">Таблица 1. </w:t>
      </w:r>
      <w:r w:rsidRPr="00225BFA">
        <w:rPr>
          <w:rStyle w:val="ab"/>
          <w:b w:val="0"/>
          <w:i/>
        </w:rPr>
        <w:t>Отдельные количественные показатели российского рынка микрофинансирования в 2020 году в сравнении с результатами 2013 года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767"/>
        <w:gridCol w:w="3767"/>
        <w:gridCol w:w="2603"/>
      </w:tblGrid>
      <w:tr w:rsidR="0023234B" w:rsidRPr="00225BFA" w:rsidTr="006F1CFA">
        <w:trPr>
          <w:trHeight w:val="2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34B" w:rsidRPr="00225BFA" w:rsidRDefault="0023234B" w:rsidP="006F1CFA">
            <w:pPr>
              <w:rPr>
                <w:b/>
                <w:bCs/>
                <w:color w:val="000000"/>
              </w:rPr>
            </w:pPr>
            <w:r w:rsidRPr="00225BFA">
              <w:rPr>
                <w:b/>
                <w:bCs/>
                <w:color w:val="000000"/>
                <w:sz w:val="22"/>
                <w:szCs w:val="22"/>
              </w:rPr>
              <w:t>Показатель: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34B" w:rsidRPr="00225BFA" w:rsidRDefault="0023234B" w:rsidP="006F1CFA">
            <w:pPr>
              <w:rPr>
                <w:b/>
                <w:bCs/>
                <w:color w:val="000000"/>
              </w:rPr>
            </w:pPr>
            <w:r w:rsidRPr="00225BFA">
              <w:rPr>
                <w:b/>
                <w:bCs/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34B" w:rsidRPr="00225BFA" w:rsidRDefault="0023234B" w:rsidP="006F1CFA">
            <w:pPr>
              <w:rPr>
                <w:b/>
                <w:bCs/>
                <w:color w:val="000000"/>
              </w:rPr>
            </w:pPr>
            <w:r w:rsidRPr="00225BFA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</w:tr>
      <w:tr w:rsidR="0023234B" w:rsidRPr="00225BFA" w:rsidTr="006F1CFA">
        <w:trPr>
          <w:trHeight w:val="2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34B" w:rsidRPr="00225BFA" w:rsidRDefault="0023234B" w:rsidP="006F1CFA">
            <w:pPr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>Размер совокупного портфеля МФО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34B" w:rsidRPr="00225BFA" w:rsidRDefault="0023234B" w:rsidP="006F1CFA">
            <w:pPr>
              <w:jc w:val="right"/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 xml:space="preserve">39 </w:t>
            </w:r>
            <w:proofErr w:type="gramStart"/>
            <w:r w:rsidRPr="00225BFA">
              <w:rPr>
                <w:color w:val="000000"/>
                <w:sz w:val="22"/>
                <w:szCs w:val="22"/>
              </w:rPr>
              <w:t>млрд</w:t>
            </w:r>
            <w:proofErr w:type="gramEnd"/>
            <w:r w:rsidRPr="00225BF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34B" w:rsidRPr="00225BFA" w:rsidRDefault="0023234B" w:rsidP="006F1CFA">
            <w:pPr>
              <w:jc w:val="right"/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  <w:lang w:val="en-US"/>
              </w:rPr>
              <w:t>&gt;</w:t>
            </w:r>
            <w:r w:rsidRPr="00225BFA">
              <w:rPr>
                <w:color w:val="000000"/>
                <w:sz w:val="22"/>
                <w:szCs w:val="22"/>
              </w:rPr>
              <w:t xml:space="preserve"> 250 млрд руб.</w:t>
            </w:r>
          </w:p>
        </w:tc>
      </w:tr>
      <w:tr w:rsidR="0023234B" w:rsidRPr="00225BFA" w:rsidTr="006F1CFA">
        <w:trPr>
          <w:trHeight w:val="2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34B" w:rsidRPr="00225BFA" w:rsidRDefault="0023234B" w:rsidP="006F1CFA">
            <w:pPr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 xml:space="preserve">Доля </w:t>
            </w:r>
            <w:proofErr w:type="spellStart"/>
            <w:r w:rsidRPr="00225BFA">
              <w:rPr>
                <w:color w:val="000000"/>
                <w:sz w:val="22"/>
                <w:szCs w:val="22"/>
              </w:rPr>
              <w:t>микрозаймов</w:t>
            </w:r>
            <w:proofErr w:type="spellEnd"/>
            <w:r w:rsidRPr="00225BFA">
              <w:rPr>
                <w:color w:val="000000"/>
                <w:sz w:val="22"/>
                <w:szCs w:val="22"/>
              </w:rPr>
              <w:t xml:space="preserve"> «до зарплаты» (</w:t>
            </w:r>
            <w:r w:rsidRPr="00225BFA">
              <w:rPr>
                <w:color w:val="000000"/>
                <w:sz w:val="22"/>
                <w:szCs w:val="22"/>
                <w:lang w:val="en-US"/>
              </w:rPr>
              <w:t>PDL</w:t>
            </w:r>
            <w:r w:rsidRPr="00225BFA">
              <w:rPr>
                <w:color w:val="000000"/>
                <w:sz w:val="22"/>
                <w:szCs w:val="22"/>
              </w:rPr>
              <w:t>) в общем объеме портфеля МФО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34B" w:rsidRPr="00225BFA" w:rsidRDefault="0023234B" w:rsidP="006F1CFA">
            <w:pPr>
              <w:jc w:val="right"/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>15%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34B" w:rsidRPr="00225BFA" w:rsidRDefault="0023234B" w:rsidP="007C19F0">
            <w:pPr>
              <w:jc w:val="right"/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>менее 5%</w:t>
            </w:r>
          </w:p>
        </w:tc>
      </w:tr>
      <w:tr w:rsidR="0023234B" w:rsidRPr="00225BFA" w:rsidTr="006F1CFA">
        <w:trPr>
          <w:trHeight w:val="2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34B" w:rsidRPr="00225BFA" w:rsidRDefault="0023234B" w:rsidP="0075162F">
            <w:pPr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 xml:space="preserve">Доля потребительских </w:t>
            </w:r>
            <w:proofErr w:type="spellStart"/>
            <w:r w:rsidRPr="00225BFA">
              <w:rPr>
                <w:color w:val="000000"/>
                <w:sz w:val="22"/>
                <w:szCs w:val="22"/>
              </w:rPr>
              <w:t>микрозаймов</w:t>
            </w:r>
            <w:proofErr w:type="spellEnd"/>
            <w:r w:rsidRPr="00225BFA">
              <w:rPr>
                <w:color w:val="000000"/>
                <w:sz w:val="22"/>
                <w:szCs w:val="22"/>
              </w:rPr>
              <w:t xml:space="preserve"> </w:t>
            </w:r>
            <w:r w:rsidR="0075162F" w:rsidRPr="00225BFA">
              <w:rPr>
                <w:color w:val="000000"/>
                <w:sz w:val="22"/>
                <w:szCs w:val="22"/>
              </w:rPr>
              <w:t>физическим лицам</w:t>
            </w:r>
            <w:r w:rsidRPr="00225BFA">
              <w:rPr>
                <w:color w:val="000000"/>
                <w:sz w:val="22"/>
                <w:szCs w:val="22"/>
              </w:rPr>
              <w:t xml:space="preserve"> в общем объеме портфеля МФО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34B" w:rsidRPr="00225BFA" w:rsidRDefault="0023234B" w:rsidP="006F1CFA">
            <w:pPr>
              <w:jc w:val="right"/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>45%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34B" w:rsidRPr="00225BFA" w:rsidRDefault="0023234B" w:rsidP="007C19F0">
            <w:pPr>
              <w:jc w:val="right"/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>менее 25%</w:t>
            </w:r>
          </w:p>
        </w:tc>
      </w:tr>
      <w:tr w:rsidR="0023234B" w:rsidRPr="00225BFA" w:rsidTr="006F1CFA">
        <w:trPr>
          <w:trHeight w:val="2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34B" w:rsidRPr="00225BFA" w:rsidRDefault="0023234B" w:rsidP="006F1CFA">
            <w:pPr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 xml:space="preserve">Доля </w:t>
            </w:r>
            <w:proofErr w:type="spellStart"/>
            <w:r w:rsidRPr="00225BFA">
              <w:rPr>
                <w:color w:val="000000"/>
                <w:sz w:val="22"/>
                <w:szCs w:val="22"/>
              </w:rPr>
              <w:t>микрозаймов</w:t>
            </w:r>
            <w:proofErr w:type="spellEnd"/>
            <w:r w:rsidRPr="00225BFA">
              <w:rPr>
                <w:color w:val="000000"/>
                <w:sz w:val="22"/>
                <w:szCs w:val="22"/>
              </w:rPr>
              <w:t xml:space="preserve"> бизнесу в общем объеме портфеля МФО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34B" w:rsidRPr="00225BFA" w:rsidRDefault="0023234B" w:rsidP="006F1CFA">
            <w:pPr>
              <w:jc w:val="right"/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34B" w:rsidRPr="00225BFA" w:rsidRDefault="0023234B" w:rsidP="007C19F0">
            <w:pPr>
              <w:jc w:val="right"/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>более 70%</w:t>
            </w:r>
          </w:p>
        </w:tc>
      </w:tr>
      <w:tr w:rsidR="0023234B" w:rsidRPr="00225BFA" w:rsidTr="006F1CFA">
        <w:trPr>
          <w:trHeight w:val="20"/>
        </w:trPr>
        <w:tc>
          <w:tcPr>
            <w:tcW w:w="1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34B" w:rsidRPr="00225BFA" w:rsidRDefault="0023234B" w:rsidP="006F1CFA">
            <w:pPr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 xml:space="preserve">Доля частных МФО на рынке </w:t>
            </w:r>
            <w:proofErr w:type="spellStart"/>
            <w:r w:rsidRPr="00225BFA">
              <w:rPr>
                <w:color w:val="000000"/>
                <w:sz w:val="22"/>
                <w:szCs w:val="22"/>
              </w:rPr>
              <w:t>микрозаймов</w:t>
            </w:r>
            <w:proofErr w:type="spellEnd"/>
            <w:r w:rsidRPr="00225BFA">
              <w:rPr>
                <w:color w:val="000000"/>
                <w:sz w:val="22"/>
                <w:szCs w:val="22"/>
              </w:rPr>
              <w:t xml:space="preserve"> бизнесу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34B" w:rsidRPr="00225BFA" w:rsidRDefault="0023234B" w:rsidP="006F1CFA">
            <w:pPr>
              <w:jc w:val="right"/>
              <w:rPr>
                <w:color w:val="000000"/>
              </w:rPr>
            </w:pPr>
            <w:r w:rsidRPr="00225BFA">
              <w:rPr>
                <w:color w:val="000000"/>
                <w:sz w:val="22"/>
                <w:szCs w:val="22"/>
              </w:rPr>
              <w:t>около 30%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34B" w:rsidRPr="00225BFA" w:rsidRDefault="0023234B" w:rsidP="006F1CFA">
            <w:pPr>
              <w:jc w:val="right"/>
              <w:rPr>
                <w:color w:val="000000"/>
                <w:lang w:val="en-US"/>
              </w:rPr>
            </w:pPr>
            <w:proofErr w:type="spellStart"/>
            <w:r w:rsidRPr="00225BFA">
              <w:rPr>
                <w:color w:val="000000"/>
                <w:sz w:val="22"/>
                <w:szCs w:val="22"/>
                <w:lang w:val="en-US"/>
              </w:rPr>
              <w:t>более</w:t>
            </w:r>
            <w:proofErr w:type="spellEnd"/>
            <w:r w:rsidRPr="00225BFA">
              <w:rPr>
                <w:color w:val="000000"/>
                <w:sz w:val="22"/>
                <w:szCs w:val="22"/>
                <w:lang w:val="en-US"/>
              </w:rPr>
              <w:t xml:space="preserve"> 60%</w:t>
            </w:r>
          </w:p>
        </w:tc>
      </w:tr>
    </w:tbl>
    <w:p w:rsidR="0023234B" w:rsidRPr="00225BFA" w:rsidRDefault="0023234B" w:rsidP="007042BA">
      <w:pPr>
        <w:ind w:left="-180"/>
        <w:jc w:val="right"/>
        <w:rPr>
          <w:rFonts w:eastAsia="Arial Unicode MS"/>
          <w:bCs/>
          <w:sz w:val="32"/>
          <w:szCs w:val="32"/>
        </w:rPr>
      </w:pPr>
      <w:r w:rsidRPr="00225BFA">
        <w:rPr>
          <w:b/>
          <w:i/>
        </w:rPr>
        <w:t>Источник:</w:t>
      </w:r>
      <w:r w:rsidRPr="00225BFA">
        <w:rPr>
          <w:i/>
        </w:rPr>
        <w:t xml:space="preserve"> по результатам анкетирования МФО, прогноз и оценка «Эксперт РА»</w:t>
      </w:r>
    </w:p>
    <w:p w:rsidR="0023234B" w:rsidRPr="00225BFA" w:rsidRDefault="0023234B" w:rsidP="006F1CFA">
      <w:pPr>
        <w:ind w:left="-180"/>
        <w:jc w:val="center"/>
      </w:pPr>
    </w:p>
    <w:p w:rsidR="0023234B" w:rsidRPr="00225BFA" w:rsidRDefault="0023234B" w:rsidP="005E1DB8">
      <w:pPr>
        <w:ind w:left="-180"/>
        <w:jc w:val="both"/>
        <w:rPr>
          <w:b/>
          <w:u w:val="single"/>
        </w:rPr>
      </w:pPr>
      <w:r w:rsidRPr="00225BFA">
        <w:rPr>
          <w:b/>
          <w:u w:val="single"/>
        </w:rPr>
        <w:t>Качественные показатели целевой модели</w:t>
      </w:r>
    </w:p>
    <w:p w:rsidR="0023234B" w:rsidRPr="00225BFA" w:rsidRDefault="0023234B" w:rsidP="007042BA">
      <w:pPr>
        <w:pStyle w:val="a4"/>
        <w:numPr>
          <w:ilvl w:val="0"/>
          <w:numId w:val="10"/>
        </w:numPr>
        <w:jc w:val="both"/>
      </w:pPr>
      <w:r w:rsidRPr="00225BFA">
        <w:t xml:space="preserve">Снижение доли нерегулируемого рынка </w:t>
      </w:r>
      <w:proofErr w:type="spellStart"/>
      <w:r w:rsidRPr="00225BFA">
        <w:t>микрозаймов</w:t>
      </w:r>
      <w:proofErr w:type="spellEnd"/>
      <w:r w:rsidRPr="00225BFA">
        <w:t xml:space="preserve"> (так называемых «столбовых» кредиторов, не входящих в реестр МФО)</w:t>
      </w:r>
    </w:p>
    <w:p w:rsidR="0023234B" w:rsidRPr="00225BFA" w:rsidRDefault="0023234B" w:rsidP="007042BA">
      <w:pPr>
        <w:pStyle w:val="a4"/>
        <w:numPr>
          <w:ilvl w:val="0"/>
          <w:numId w:val="11"/>
        </w:numPr>
        <w:jc w:val="both"/>
      </w:pPr>
      <w:r w:rsidRPr="00225BFA">
        <w:t xml:space="preserve">Объем </w:t>
      </w:r>
      <w:proofErr w:type="spellStart"/>
      <w:r w:rsidRPr="00225BFA">
        <w:t>микрозаймов</w:t>
      </w:r>
      <w:proofErr w:type="spellEnd"/>
      <w:r w:rsidRPr="00225BFA">
        <w:t xml:space="preserve">, предоставленных МФО, не входящими в реестр, в общем объеме </w:t>
      </w:r>
      <w:proofErr w:type="spellStart"/>
      <w:r w:rsidRPr="00225BFA">
        <w:t>микрозаймов</w:t>
      </w:r>
      <w:proofErr w:type="spellEnd"/>
      <w:r w:rsidRPr="00225BFA">
        <w:t xml:space="preserve"> – </w:t>
      </w:r>
      <w:r w:rsidRPr="00225BFA">
        <w:rPr>
          <w:b/>
        </w:rPr>
        <w:t>менее 10%</w:t>
      </w:r>
      <w:r w:rsidR="0075162F" w:rsidRPr="00225BFA">
        <w:t xml:space="preserve"> (около 35% в 2013 году)</w:t>
      </w:r>
    </w:p>
    <w:p w:rsidR="0023234B" w:rsidRPr="00225BFA" w:rsidRDefault="0023234B" w:rsidP="007042BA">
      <w:pPr>
        <w:pStyle w:val="a4"/>
        <w:numPr>
          <w:ilvl w:val="0"/>
          <w:numId w:val="10"/>
        </w:numPr>
        <w:jc w:val="both"/>
      </w:pPr>
      <w:r w:rsidRPr="00225BFA">
        <w:t xml:space="preserve">Повышение </w:t>
      </w:r>
      <w:proofErr w:type="spellStart"/>
      <w:r w:rsidRPr="00225BFA">
        <w:t>транспарентности</w:t>
      </w:r>
      <w:proofErr w:type="spellEnd"/>
      <w:r w:rsidRPr="00225BFA">
        <w:t xml:space="preserve"> бизнеса МФО</w:t>
      </w:r>
      <w:r w:rsidRPr="00225BFA">
        <w:rPr>
          <w:lang w:val="en-US"/>
        </w:rPr>
        <w:t>:</w:t>
      </w:r>
    </w:p>
    <w:p w:rsidR="0023234B" w:rsidRPr="00225BFA" w:rsidRDefault="0023234B" w:rsidP="00074874">
      <w:pPr>
        <w:pStyle w:val="a4"/>
        <w:numPr>
          <w:ilvl w:val="0"/>
          <w:numId w:val="11"/>
        </w:numPr>
        <w:jc w:val="both"/>
      </w:pPr>
      <w:r w:rsidRPr="00225BFA">
        <w:t xml:space="preserve">Доля компаний, публично раскрывающих актуальную информацию об акционерах (участниках), финансовых показателях, аудиторе – </w:t>
      </w:r>
      <w:r w:rsidRPr="00225BFA">
        <w:rPr>
          <w:b/>
        </w:rPr>
        <w:t>более 50%</w:t>
      </w:r>
      <w:r w:rsidR="0075162F" w:rsidRPr="00225BFA">
        <w:t xml:space="preserve"> (менее 10% в 2013 году)</w:t>
      </w:r>
    </w:p>
    <w:p w:rsidR="0023234B" w:rsidRPr="00225BFA" w:rsidRDefault="0023234B" w:rsidP="00074874">
      <w:pPr>
        <w:pStyle w:val="a4"/>
        <w:numPr>
          <w:ilvl w:val="0"/>
          <w:numId w:val="11"/>
        </w:numPr>
        <w:jc w:val="both"/>
      </w:pPr>
      <w:r w:rsidRPr="00225BFA">
        <w:t>Доля компаний, использующих услуг</w:t>
      </w:r>
      <w:r w:rsidR="0075162F" w:rsidRPr="00225BFA">
        <w:t>и</w:t>
      </w:r>
      <w:r w:rsidRPr="00225BFA">
        <w:t xml:space="preserve"> аудиторов с хорошей репутацией, - </w:t>
      </w:r>
      <w:r w:rsidRPr="00225BFA">
        <w:rPr>
          <w:b/>
        </w:rPr>
        <w:t>более 20%</w:t>
      </w:r>
      <w:r w:rsidR="0075162F" w:rsidRPr="00225BFA">
        <w:rPr>
          <w:b/>
        </w:rPr>
        <w:t xml:space="preserve"> </w:t>
      </w:r>
      <w:r w:rsidR="0075162F" w:rsidRPr="00225BFA">
        <w:t>(менее 5% в 2013 году)</w:t>
      </w:r>
    </w:p>
    <w:p w:rsidR="0023234B" w:rsidRPr="00225BFA" w:rsidRDefault="0023234B" w:rsidP="00074874">
      <w:pPr>
        <w:pStyle w:val="a4"/>
        <w:numPr>
          <w:ilvl w:val="0"/>
          <w:numId w:val="11"/>
        </w:numPr>
        <w:jc w:val="both"/>
      </w:pPr>
      <w:r w:rsidRPr="00225BFA">
        <w:t xml:space="preserve">Доля компаний, составляющих и публикующих отчетность по МСФО, - </w:t>
      </w:r>
      <w:r w:rsidRPr="00225BFA">
        <w:rPr>
          <w:b/>
        </w:rPr>
        <w:t>более 10%</w:t>
      </w:r>
      <w:r w:rsidRPr="00225BFA">
        <w:t xml:space="preserve"> </w:t>
      </w:r>
      <w:r w:rsidR="0075162F" w:rsidRPr="00225BFA">
        <w:t>(менее 1% в 2013 году)</w:t>
      </w:r>
      <w:r w:rsidRPr="00225BFA">
        <w:t xml:space="preserve"> </w:t>
      </w:r>
    </w:p>
    <w:p w:rsidR="0023234B" w:rsidRPr="00225BFA" w:rsidRDefault="0023234B" w:rsidP="007042BA">
      <w:pPr>
        <w:pStyle w:val="a4"/>
        <w:numPr>
          <w:ilvl w:val="0"/>
          <w:numId w:val="10"/>
        </w:numPr>
        <w:jc w:val="both"/>
      </w:pPr>
      <w:r w:rsidRPr="00225BFA">
        <w:t xml:space="preserve">Повышение доли рыночного фондирования в структуре пассивов </w:t>
      </w:r>
      <w:proofErr w:type="spellStart"/>
      <w:r w:rsidRPr="00225BFA">
        <w:t>микрофинансовых</w:t>
      </w:r>
      <w:proofErr w:type="spellEnd"/>
      <w:r w:rsidRPr="00225BFA">
        <w:t xml:space="preserve"> организаций</w:t>
      </w:r>
    </w:p>
    <w:p w:rsidR="0023234B" w:rsidRPr="00225BFA" w:rsidRDefault="0023234B" w:rsidP="007042BA">
      <w:pPr>
        <w:pStyle w:val="a4"/>
        <w:numPr>
          <w:ilvl w:val="0"/>
          <w:numId w:val="11"/>
        </w:numPr>
        <w:jc w:val="both"/>
      </w:pPr>
      <w:r w:rsidRPr="00225BFA">
        <w:t xml:space="preserve">Доля долговых ценных бумаг в совокупных пассивах МФО – </w:t>
      </w:r>
      <w:r w:rsidRPr="00225BFA">
        <w:rPr>
          <w:b/>
        </w:rPr>
        <w:t>не менее 5%</w:t>
      </w:r>
      <w:r w:rsidR="0075162F" w:rsidRPr="00225BFA">
        <w:rPr>
          <w:b/>
        </w:rPr>
        <w:t xml:space="preserve"> </w:t>
      </w:r>
      <w:r w:rsidR="0075162F" w:rsidRPr="00225BFA">
        <w:t>(менее 1% в 2013 году)</w:t>
      </w:r>
    </w:p>
    <w:p w:rsidR="0023234B" w:rsidRPr="00225BFA" w:rsidRDefault="0023234B" w:rsidP="007042BA">
      <w:pPr>
        <w:pStyle w:val="a4"/>
        <w:numPr>
          <w:ilvl w:val="0"/>
          <w:numId w:val="11"/>
        </w:numPr>
        <w:jc w:val="both"/>
      </w:pPr>
      <w:r w:rsidRPr="00225BFA">
        <w:t>Доля привлеченных сре</w:t>
      </w:r>
      <w:proofErr w:type="gramStart"/>
      <w:r w:rsidRPr="00225BFA">
        <w:t>дств кл</w:t>
      </w:r>
      <w:proofErr w:type="gramEnd"/>
      <w:r w:rsidRPr="00225BFA">
        <w:t xml:space="preserve">иентов (ФЛ, ЮЛ, ИП) в совокупных пассивах МФО – </w:t>
      </w:r>
      <w:r w:rsidRPr="00225BFA">
        <w:rPr>
          <w:b/>
        </w:rPr>
        <w:t>не менее 40%</w:t>
      </w:r>
      <w:r w:rsidR="0075162F" w:rsidRPr="00225BFA">
        <w:rPr>
          <w:b/>
        </w:rPr>
        <w:t xml:space="preserve"> </w:t>
      </w:r>
      <w:r w:rsidR="0075162F" w:rsidRPr="00225BFA">
        <w:t>(менее 15% в 2013 году)</w:t>
      </w:r>
    </w:p>
    <w:p w:rsidR="0023234B" w:rsidRPr="00225BFA" w:rsidRDefault="0023234B" w:rsidP="003F477E">
      <w:pPr>
        <w:pStyle w:val="a4"/>
        <w:numPr>
          <w:ilvl w:val="0"/>
          <w:numId w:val="10"/>
        </w:numPr>
        <w:jc w:val="both"/>
      </w:pPr>
      <w:r w:rsidRPr="00225BFA">
        <w:t>Создание делегированного надзора за рынком на базе развития института саморегулирования (СРО):</w:t>
      </w:r>
    </w:p>
    <w:p w:rsidR="0023234B" w:rsidRPr="00225BFA" w:rsidRDefault="0023234B" w:rsidP="00CE6078">
      <w:pPr>
        <w:pStyle w:val="a4"/>
        <w:numPr>
          <w:ilvl w:val="0"/>
          <w:numId w:val="11"/>
        </w:numPr>
        <w:jc w:val="both"/>
      </w:pPr>
      <w:r w:rsidRPr="00225BFA">
        <w:t xml:space="preserve">Число МФО, входящих в СРО, - </w:t>
      </w:r>
      <w:r w:rsidRPr="00225BFA">
        <w:rPr>
          <w:b/>
        </w:rPr>
        <w:t>более 80%</w:t>
      </w:r>
      <w:r w:rsidR="0075162F" w:rsidRPr="00225BFA">
        <w:t xml:space="preserve"> (около 30% в 2013 году) </w:t>
      </w:r>
    </w:p>
    <w:p w:rsidR="0023234B" w:rsidRPr="00225BFA" w:rsidRDefault="0023234B" w:rsidP="007042BA">
      <w:pPr>
        <w:pStyle w:val="a4"/>
        <w:numPr>
          <w:ilvl w:val="0"/>
          <w:numId w:val="10"/>
        </w:numPr>
        <w:jc w:val="both"/>
      </w:pPr>
      <w:r w:rsidRPr="00225BFA">
        <w:t xml:space="preserve">Повышение качества портфеля </w:t>
      </w:r>
      <w:proofErr w:type="spellStart"/>
      <w:r w:rsidRPr="00225BFA">
        <w:t>микрозаймов</w:t>
      </w:r>
      <w:proofErr w:type="spellEnd"/>
      <w:r w:rsidRPr="00225BFA">
        <w:t xml:space="preserve"> путем внедрения стандартов ведения бизнеса МФО:</w:t>
      </w:r>
    </w:p>
    <w:p w:rsidR="0023234B" w:rsidRPr="00225BFA" w:rsidRDefault="0023234B" w:rsidP="00CE6078">
      <w:pPr>
        <w:pStyle w:val="a4"/>
        <w:numPr>
          <w:ilvl w:val="0"/>
          <w:numId w:val="11"/>
        </w:numPr>
        <w:jc w:val="both"/>
      </w:pPr>
      <w:r w:rsidRPr="00225BFA">
        <w:t xml:space="preserve">Внедрение специальных отраслевых стандартов по ведению бухгалтерского учета, позволяющих регулятору оперативно оценивать реальный уровень </w:t>
      </w:r>
      <w:proofErr w:type="spellStart"/>
      <w:r w:rsidRPr="00225BFA">
        <w:t>дефолтности</w:t>
      </w:r>
      <w:proofErr w:type="spellEnd"/>
      <w:r w:rsidRPr="00225BFA">
        <w:t xml:space="preserve"> портфеля </w:t>
      </w:r>
      <w:proofErr w:type="spellStart"/>
      <w:r w:rsidRPr="00225BFA">
        <w:t>микрозаймов</w:t>
      </w:r>
      <w:proofErr w:type="spellEnd"/>
      <w:r w:rsidRPr="00225BFA">
        <w:t>;</w:t>
      </w:r>
    </w:p>
    <w:p w:rsidR="0023234B" w:rsidRPr="00225BFA" w:rsidRDefault="0023234B" w:rsidP="00CE6078">
      <w:pPr>
        <w:pStyle w:val="a4"/>
        <w:numPr>
          <w:ilvl w:val="0"/>
          <w:numId w:val="11"/>
        </w:numPr>
        <w:jc w:val="both"/>
      </w:pPr>
      <w:r w:rsidRPr="00225BFA">
        <w:t xml:space="preserve">Внедрение стандартов по управлению кредитными рисками (при выдаче </w:t>
      </w:r>
      <w:proofErr w:type="spellStart"/>
      <w:r w:rsidRPr="00225BFA">
        <w:t>микрозаймов</w:t>
      </w:r>
      <w:proofErr w:type="spellEnd"/>
      <w:r w:rsidRPr="00225BFA">
        <w:t xml:space="preserve">) и работе с просроченной задолженности по </w:t>
      </w:r>
      <w:proofErr w:type="spellStart"/>
      <w:r w:rsidRPr="00225BFA">
        <w:t>микрозайма</w:t>
      </w:r>
      <w:r w:rsidR="00C63C75" w:rsidRPr="00225BFA">
        <w:t>м</w:t>
      </w:r>
      <w:proofErr w:type="spellEnd"/>
      <w:r w:rsidRPr="00225BFA">
        <w:t>;</w:t>
      </w:r>
    </w:p>
    <w:p w:rsidR="0023234B" w:rsidRPr="00225BFA" w:rsidRDefault="0023234B" w:rsidP="00CE6078">
      <w:pPr>
        <w:pStyle w:val="a4"/>
        <w:numPr>
          <w:ilvl w:val="0"/>
          <w:numId w:val="11"/>
        </w:numPr>
        <w:jc w:val="both"/>
      </w:pPr>
      <w:r w:rsidRPr="00225BFA">
        <w:lastRenderedPageBreak/>
        <w:t xml:space="preserve">Внедрение стандартов по управлению операционными рисками для сокращения случаев мошенничества при выдаче </w:t>
      </w:r>
      <w:proofErr w:type="spellStart"/>
      <w:r w:rsidRPr="00225BFA">
        <w:t>микрозаймов</w:t>
      </w:r>
      <w:proofErr w:type="spellEnd"/>
      <w:r w:rsidRPr="00225BFA">
        <w:t>.</w:t>
      </w:r>
    </w:p>
    <w:p w:rsidR="0023234B" w:rsidRPr="00225BFA" w:rsidRDefault="0023234B" w:rsidP="007042BA">
      <w:pPr>
        <w:pStyle w:val="a4"/>
        <w:numPr>
          <w:ilvl w:val="0"/>
          <w:numId w:val="10"/>
        </w:numPr>
        <w:jc w:val="both"/>
      </w:pPr>
      <w:r w:rsidRPr="00225BFA">
        <w:t xml:space="preserve">Снижение доли безналичного оборота в операциях по предоставлению </w:t>
      </w:r>
      <w:proofErr w:type="spellStart"/>
      <w:r w:rsidRPr="00225BFA">
        <w:t>микрозаймов</w:t>
      </w:r>
      <w:proofErr w:type="spellEnd"/>
      <w:r w:rsidRPr="00225BFA">
        <w:t>:</w:t>
      </w:r>
    </w:p>
    <w:p w:rsidR="0023234B" w:rsidRPr="00225BFA" w:rsidRDefault="0023234B" w:rsidP="006C1E1F">
      <w:pPr>
        <w:pStyle w:val="a4"/>
        <w:numPr>
          <w:ilvl w:val="0"/>
          <w:numId w:val="11"/>
        </w:numPr>
        <w:jc w:val="both"/>
      </w:pPr>
      <w:r w:rsidRPr="00225BFA">
        <w:t xml:space="preserve">Доля безналичных расчетов при выдаче и возврате </w:t>
      </w:r>
      <w:proofErr w:type="spellStart"/>
      <w:r w:rsidRPr="00225BFA">
        <w:t>микрозаймов</w:t>
      </w:r>
      <w:proofErr w:type="spellEnd"/>
      <w:r w:rsidRPr="00225BFA">
        <w:t xml:space="preserve"> (пластиковые карты, мобильные кошельки) – </w:t>
      </w:r>
      <w:r w:rsidRPr="00225BFA">
        <w:rPr>
          <w:b/>
        </w:rPr>
        <w:t>более 50%</w:t>
      </w:r>
      <w:r w:rsidR="0075162F" w:rsidRPr="00225BFA">
        <w:rPr>
          <w:b/>
        </w:rPr>
        <w:t xml:space="preserve"> </w:t>
      </w:r>
      <w:r w:rsidR="0075162F" w:rsidRPr="00225BFA">
        <w:t>(менее 20% в 2013 году)</w:t>
      </w:r>
    </w:p>
    <w:p w:rsidR="0023234B" w:rsidRPr="00225BFA" w:rsidRDefault="0023234B" w:rsidP="00386590">
      <w:pPr>
        <w:ind w:left="-180"/>
        <w:jc w:val="both"/>
        <w:rPr>
          <w:rFonts w:eastAsia="Arial Unicode MS"/>
          <w:bCs/>
          <w:sz w:val="32"/>
          <w:szCs w:val="32"/>
        </w:rPr>
      </w:pPr>
    </w:p>
    <w:p w:rsidR="0023234B" w:rsidRPr="00225BFA" w:rsidRDefault="0023234B" w:rsidP="00386590">
      <w:pPr>
        <w:ind w:left="-180"/>
        <w:jc w:val="both"/>
        <w:rPr>
          <w:rFonts w:eastAsia="Arial Unicode MS"/>
          <w:bCs/>
          <w:sz w:val="32"/>
          <w:szCs w:val="32"/>
        </w:rPr>
      </w:pPr>
      <w:r w:rsidRPr="00225BFA">
        <w:rPr>
          <w:rFonts w:eastAsia="Arial Unicode MS"/>
          <w:bCs/>
          <w:sz w:val="32"/>
          <w:szCs w:val="32"/>
        </w:rPr>
        <w:t>Часть 2. Текущее состояние рынка микрофинанс</w:t>
      </w:r>
      <w:r w:rsidR="006C06DD" w:rsidRPr="00225BFA">
        <w:rPr>
          <w:rFonts w:eastAsia="Arial Unicode MS"/>
          <w:bCs/>
          <w:sz w:val="32"/>
          <w:szCs w:val="32"/>
        </w:rPr>
        <w:t>ирования</w:t>
      </w:r>
    </w:p>
    <w:p w:rsidR="0023234B" w:rsidRPr="00225BFA" w:rsidRDefault="0023234B" w:rsidP="00F63777">
      <w:pPr>
        <w:ind w:left="-180"/>
        <w:rPr>
          <w:rFonts w:eastAsia="Arial Unicode MS"/>
          <w:bCs/>
          <w:sz w:val="32"/>
          <w:szCs w:val="32"/>
        </w:rPr>
      </w:pPr>
    </w:p>
    <w:p w:rsidR="0023234B" w:rsidRPr="00225BFA" w:rsidRDefault="0023234B" w:rsidP="00A64D5A">
      <w:pPr>
        <w:ind w:left="-180"/>
        <w:jc w:val="both"/>
      </w:pPr>
      <w:r w:rsidRPr="00225BFA">
        <w:t xml:space="preserve">Рынок микрофинансирования в России официально появился в 2011 году с момента вступления в силу Федерального закона № 151-ФЗ «О </w:t>
      </w:r>
      <w:proofErr w:type="spellStart"/>
      <w:r w:rsidRPr="00225BFA">
        <w:t>микрофинансовой</w:t>
      </w:r>
      <w:proofErr w:type="spellEnd"/>
      <w:r w:rsidRPr="00225BFA">
        <w:t xml:space="preserve"> деятельности и </w:t>
      </w:r>
      <w:proofErr w:type="spellStart"/>
      <w:r w:rsidRPr="00225BFA">
        <w:t>микрофинансовых</w:t>
      </w:r>
      <w:proofErr w:type="spellEnd"/>
      <w:r w:rsidRPr="00225BFA">
        <w:t xml:space="preserve"> организациях» и появления официального реестра участников </w:t>
      </w:r>
      <w:proofErr w:type="spellStart"/>
      <w:r w:rsidRPr="00225BFA">
        <w:t>микрофинансового</w:t>
      </w:r>
      <w:proofErr w:type="spellEnd"/>
      <w:r w:rsidRPr="00225BFA">
        <w:t xml:space="preserve"> рынка. С тех пор несколько лет подряд рынок </w:t>
      </w:r>
      <w:proofErr w:type="spellStart"/>
      <w:r w:rsidRPr="00225BFA">
        <w:t>микрозаймов</w:t>
      </w:r>
      <w:proofErr w:type="spellEnd"/>
      <w:r w:rsidRPr="00225BFA">
        <w:t xml:space="preserve"> растет высокими темпами, опережающими темпы роста других сегментов финансового рын</w:t>
      </w:r>
      <w:r w:rsidR="001750B1" w:rsidRPr="00225BFA">
        <w:t>ка (30% в 2012 году и 40% в 2013</w:t>
      </w:r>
      <w:r w:rsidRPr="00225BFA">
        <w:t xml:space="preserve">). Подобный рост в первые годы обеспечивался выходом на рынок огромного количества новых участников (на начало 2013 года совокупное количество компаний в реестре составило свыше 2000 МФО). В течение же 2013 года очевидна тенденция взросления рынка, когда все больше </w:t>
      </w:r>
      <w:proofErr w:type="spellStart"/>
      <w:r w:rsidRPr="00225BFA">
        <w:t>микрозаймов</w:t>
      </w:r>
      <w:proofErr w:type="spellEnd"/>
      <w:r w:rsidRPr="00225BFA">
        <w:t xml:space="preserve"> концентрируется на крупнейших и наиболее приспособленных игроках. Тем не менее, по состоянию на 1 января 2014 года совокупный объем портфеля </w:t>
      </w:r>
      <w:proofErr w:type="spellStart"/>
      <w:r w:rsidRPr="00225BFA">
        <w:t>микрофинансовых</w:t>
      </w:r>
      <w:proofErr w:type="spellEnd"/>
      <w:r w:rsidRPr="00225BFA">
        <w:t xml:space="preserve"> организаций (по оценкам «Эксперт РА» около 39 </w:t>
      </w:r>
      <w:proofErr w:type="gramStart"/>
      <w:r w:rsidRPr="00225BFA">
        <w:t>млрд</w:t>
      </w:r>
      <w:proofErr w:type="gramEnd"/>
      <w:r w:rsidRPr="00225BFA">
        <w:t xml:space="preserve"> руб.), что составляет десятые доли от банковского кредитного портфеля.</w:t>
      </w:r>
    </w:p>
    <w:p w:rsidR="00D350C0" w:rsidRPr="00225BFA" w:rsidRDefault="0023234B" w:rsidP="00D350C0">
      <w:pPr>
        <w:ind w:left="-180"/>
        <w:jc w:val="both"/>
      </w:pPr>
      <w:r w:rsidRPr="00225BFA">
        <w:rPr>
          <w:rFonts w:eastAsia="Arial Unicode MS"/>
          <w:bCs/>
        </w:rPr>
        <w:tab/>
      </w:r>
      <w:r w:rsidRPr="00225BFA">
        <w:rPr>
          <w:rFonts w:eastAsia="Arial Unicode MS"/>
          <w:bCs/>
        </w:rPr>
        <w:tab/>
      </w:r>
      <w:r w:rsidRPr="00225BFA">
        <w:t xml:space="preserve">На российском рынке МФО работают в трех основных направлениях: </w:t>
      </w:r>
      <w:proofErr w:type="spellStart"/>
      <w:r w:rsidRPr="00225BFA">
        <w:t>микрозаймы</w:t>
      </w:r>
      <w:proofErr w:type="spellEnd"/>
      <w:r w:rsidRPr="00225BFA">
        <w:t xml:space="preserve"> бизнесу, сверхкороткие </w:t>
      </w:r>
      <w:proofErr w:type="spellStart"/>
      <w:r w:rsidRPr="00225BFA">
        <w:t>микрозаймы</w:t>
      </w:r>
      <w:proofErr w:type="spellEnd"/>
      <w:r w:rsidRPr="00225BFA">
        <w:t xml:space="preserve"> «до зарплаты» для физ</w:t>
      </w:r>
      <w:r w:rsidR="00884723" w:rsidRPr="00225BFA">
        <w:t xml:space="preserve">ических </w:t>
      </w:r>
      <w:r w:rsidRPr="00225BFA">
        <w:t xml:space="preserve">лиц и прочие </w:t>
      </w:r>
      <w:proofErr w:type="spellStart"/>
      <w:r w:rsidRPr="00225BFA">
        <w:t>микрозаймы</w:t>
      </w:r>
      <w:proofErr w:type="spellEnd"/>
      <w:r w:rsidRPr="00225BFA">
        <w:t xml:space="preserve"> физ</w:t>
      </w:r>
      <w:r w:rsidR="00117E35" w:rsidRPr="00225BFA">
        <w:t xml:space="preserve">ическим </w:t>
      </w:r>
      <w:r w:rsidRPr="00225BFA">
        <w:t xml:space="preserve">лицам. Распределение долей этих сегментов представлено на графике 2. </w:t>
      </w:r>
      <w:r w:rsidR="00D350C0" w:rsidRPr="00225BFA">
        <w:t xml:space="preserve">По итогам 2013 года наиболее высокими темпами растут сегменты </w:t>
      </w:r>
      <w:proofErr w:type="spellStart"/>
      <w:r w:rsidR="00D350C0" w:rsidRPr="00225BFA">
        <w:t>микрозаймов</w:t>
      </w:r>
      <w:proofErr w:type="spellEnd"/>
      <w:r w:rsidR="00D350C0" w:rsidRPr="00225BFA">
        <w:t xml:space="preserve"> ФЛ (</w:t>
      </w:r>
      <w:r w:rsidR="00D350C0" w:rsidRPr="00225BFA">
        <w:rPr>
          <w:lang w:val="en-US"/>
        </w:rPr>
        <w:t>PDL</w:t>
      </w:r>
      <w:r w:rsidR="00D350C0" w:rsidRPr="00225BFA">
        <w:t xml:space="preserve"> и потребительские займы, см. график 3).  </w:t>
      </w:r>
    </w:p>
    <w:p w:rsidR="0023234B" w:rsidRPr="00225BFA" w:rsidRDefault="0023234B" w:rsidP="00A76973">
      <w:pPr>
        <w:jc w:val="center"/>
        <w:rPr>
          <w:rStyle w:val="ab"/>
          <w:bCs/>
          <w:i/>
        </w:rPr>
      </w:pPr>
    </w:p>
    <w:p w:rsidR="0023234B" w:rsidRPr="00225BFA" w:rsidRDefault="0023234B" w:rsidP="006870D1">
      <w:pPr>
        <w:contextualSpacing/>
        <w:jc w:val="center"/>
        <w:rPr>
          <w:rStyle w:val="ab"/>
          <w:b w:val="0"/>
          <w:bCs/>
          <w:i/>
        </w:rPr>
      </w:pPr>
      <w:r w:rsidRPr="00225BFA">
        <w:rPr>
          <w:rStyle w:val="ab"/>
          <w:bCs/>
          <w:i/>
        </w:rPr>
        <w:t xml:space="preserve">График 1. </w:t>
      </w:r>
      <w:r w:rsidRPr="00225BFA">
        <w:rPr>
          <w:rStyle w:val="ab"/>
          <w:b w:val="0"/>
          <w:bCs/>
          <w:i/>
        </w:rPr>
        <w:t xml:space="preserve">В 2013 году рынок МФО вырос на 40%, достигнув 39 </w:t>
      </w:r>
      <w:proofErr w:type="gramStart"/>
      <w:r w:rsidRPr="00225BFA">
        <w:rPr>
          <w:rStyle w:val="ab"/>
          <w:b w:val="0"/>
          <w:bCs/>
          <w:i/>
        </w:rPr>
        <w:t>млрд</w:t>
      </w:r>
      <w:proofErr w:type="gramEnd"/>
      <w:r w:rsidRPr="00225BFA">
        <w:rPr>
          <w:rStyle w:val="ab"/>
          <w:b w:val="0"/>
          <w:bCs/>
          <w:i/>
        </w:rPr>
        <w:t xml:space="preserve"> рублей</w:t>
      </w:r>
    </w:p>
    <w:p w:rsidR="0023234B" w:rsidRPr="00225BFA" w:rsidRDefault="002C5C63" w:rsidP="006870D1">
      <w:pPr>
        <w:jc w:val="both"/>
        <w:rPr>
          <w:i/>
        </w:rPr>
      </w:pPr>
      <w:r w:rsidRPr="00225BFA">
        <w:rPr>
          <w:noProof/>
        </w:rPr>
        <w:drawing>
          <wp:inline distT="0" distB="0" distL="0" distR="0" wp14:anchorId="761728F4" wp14:editId="718B21E8">
            <wp:extent cx="6297295" cy="3029585"/>
            <wp:effectExtent l="0" t="0" r="825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B" w:rsidRPr="00225BFA" w:rsidRDefault="0023234B" w:rsidP="006870D1">
      <w:pPr>
        <w:jc w:val="right"/>
        <w:rPr>
          <w:i/>
        </w:rPr>
      </w:pPr>
      <w:r w:rsidRPr="00225BFA">
        <w:rPr>
          <w:b/>
          <w:i/>
        </w:rPr>
        <w:t>Источник:</w:t>
      </w:r>
      <w:r w:rsidRPr="00225BFA">
        <w:rPr>
          <w:i/>
        </w:rPr>
        <w:t xml:space="preserve"> «Эксперт РА», по результатам анкетирования МФО</w:t>
      </w:r>
    </w:p>
    <w:p w:rsidR="0023234B" w:rsidRPr="00225BFA" w:rsidRDefault="0023234B" w:rsidP="00A76973">
      <w:pPr>
        <w:jc w:val="center"/>
        <w:rPr>
          <w:rStyle w:val="ab"/>
          <w:bCs/>
          <w:i/>
        </w:rPr>
      </w:pPr>
    </w:p>
    <w:p w:rsidR="0023234B" w:rsidRPr="00225BFA" w:rsidRDefault="0023234B" w:rsidP="00A76973">
      <w:pPr>
        <w:jc w:val="center"/>
        <w:rPr>
          <w:i/>
        </w:rPr>
      </w:pPr>
      <w:r w:rsidRPr="00225BFA">
        <w:rPr>
          <w:rStyle w:val="ab"/>
          <w:bCs/>
          <w:i/>
        </w:rPr>
        <w:t xml:space="preserve">График 2. </w:t>
      </w:r>
      <w:proofErr w:type="spellStart"/>
      <w:r w:rsidRPr="00225BFA">
        <w:rPr>
          <w:rStyle w:val="ab"/>
          <w:b w:val="0"/>
          <w:bCs/>
          <w:i/>
        </w:rPr>
        <w:t>Микрозаймы</w:t>
      </w:r>
      <w:proofErr w:type="spellEnd"/>
      <w:r w:rsidRPr="00225BFA">
        <w:rPr>
          <w:rStyle w:val="ab"/>
          <w:b w:val="0"/>
          <w:bCs/>
          <w:i/>
        </w:rPr>
        <w:t xml:space="preserve"> бизнесу и </w:t>
      </w:r>
      <w:proofErr w:type="gramStart"/>
      <w:r w:rsidRPr="00225BFA">
        <w:rPr>
          <w:rStyle w:val="ab"/>
          <w:b w:val="0"/>
          <w:bCs/>
          <w:i/>
        </w:rPr>
        <w:t>потребительские</w:t>
      </w:r>
      <w:proofErr w:type="gramEnd"/>
      <w:r w:rsidRPr="00225BFA">
        <w:rPr>
          <w:rStyle w:val="ab"/>
          <w:b w:val="0"/>
          <w:bCs/>
          <w:i/>
        </w:rPr>
        <w:t xml:space="preserve"> </w:t>
      </w:r>
      <w:proofErr w:type="spellStart"/>
      <w:r w:rsidRPr="00225BFA">
        <w:rPr>
          <w:rStyle w:val="ab"/>
          <w:b w:val="0"/>
          <w:bCs/>
          <w:i/>
        </w:rPr>
        <w:t>микрозаймы</w:t>
      </w:r>
      <w:proofErr w:type="spellEnd"/>
      <w:r w:rsidRPr="00225BFA">
        <w:rPr>
          <w:rStyle w:val="ab"/>
          <w:b w:val="0"/>
          <w:bCs/>
          <w:i/>
        </w:rPr>
        <w:t xml:space="preserve"> концентрируют основную долю портфеля </w:t>
      </w:r>
      <w:proofErr w:type="spellStart"/>
      <w:r w:rsidRPr="00225BFA">
        <w:rPr>
          <w:rStyle w:val="ab"/>
          <w:b w:val="0"/>
          <w:bCs/>
          <w:i/>
        </w:rPr>
        <w:t>микрозаймов</w:t>
      </w:r>
      <w:proofErr w:type="spellEnd"/>
    </w:p>
    <w:p w:rsidR="0023234B" w:rsidRPr="00225BFA" w:rsidRDefault="0023234B" w:rsidP="00A64D5A">
      <w:pPr>
        <w:ind w:left="-180"/>
        <w:jc w:val="both"/>
      </w:pPr>
    </w:p>
    <w:p w:rsidR="0023234B" w:rsidRPr="00225BFA" w:rsidRDefault="002C5C63" w:rsidP="00A64D5A">
      <w:pPr>
        <w:ind w:left="-180"/>
        <w:jc w:val="both"/>
        <w:rPr>
          <w:rFonts w:eastAsia="Arial Unicode MS"/>
          <w:bCs/>
        </w:rPr>
      </w:pPr>
      <w:r w:rsidRPr="00225BFA">
        <w:rPr>
          <w:i/>
          <w:noProof/>
        </w:rPr>
        <w:lastRenderedPageBreak/>
        <w:drawing>
          <wp:inline distT="0" distB="0" distL="0" distR="0" wp14:anchorId="01A0B87F" wp14:editId="0DD29351">
            <wp:extent cx="6260465" cy="3303905"/>
            <wp:effectExtent l="0" t="0" r="698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B" w:rsidRPr="00225BFA" w:rsidRDefault="0023234B" w:rsidP="00A76973">
      <w:pPr>
        <w:jc w:val="right"/>
        <w:rPr>
          <w:i/>
        </w:rPr>
      </w:pPr>
      <w:r w:rsidRPr="00225BFA">
        <w:rPr>
          <w:b/>
          <w:i/>
        </w:rPr>
        <w:t>Источник:</w:t>
      </w:r>
      <w:r w:rsidRPr="00225BFA">
        <w:rPr>
          <w:i/>
        </w:rPr>
        <w:t xml:space="preserve"> «Эксперт РА», по результатам анкетирования МФО</w:t>
      </w:r>
    </w:p>
    <w:p w:rsidR="0023234B" w:rsidRPr="00225BFA" w:rsidRDefault="0023234B" w:rsidP="00A76973">
      <w:pPr>
        <w:jc w:val="right"/>
        <w:rPr>
          <w:i/>
        </w:rPr>
      </w:pPr>
    </w:p>
    <w:p w:rsidR="0023234B" w:rsidRPr="00225BFA" w:rsidRDefault="0023234B" w:rsidP="006870D1">
      <w:pPr>
        <w:contextualSpacing/>
        <w:jc w:val="center"/>
        <w:rPr>
          <w:rStyle w:val="ab"/>
          <w:b w:val="0"/>
          <w:bCs/>
          <w:i/>
        </w:rPr>
      </w:pPr>
      <w:r w:rsidRPr="00225BFA">
        <w:rPr>
          <w:rStyle w:val="ab"/>
          <w:bCs/>
          <w:i/>
        </w:rPr>
        <w:t xml:space="preserve">График 3. </w:t>
      </w:r>
      <w:r w:rsidRPr="00225BFA">
        <w:rPr>
          <w:rStyle w:val="ab"/>
          <w:b w:val="0"/>
          <w:bCs/>
          <w:i/>
        </w:rPr>
        <w:t xml:space="preserve">Сегменты </w:t>
      </w:r>
      <w:proofErr w:type="spellStart"/>
      <w:r w:rsidRPr="00225BFA">
        <w:rPr>
          <w:rStyle w:val="ab"/>
          <w:b w:val="0"/>
          <w:bCs/>
          <w:i/>
        </w:rPr>
        <w:t>микрозаймов</w:t>
      </w:r>
      <w:proofErr w:type="spellEnd"/>
      <w:r w:rsidRPr="00225BFA">
        <w:rPr>
          <w:rStyle w:val="ab"/>
          <w:b w:val="0"/>
          <w:bCs/>
          <w:i/>
        </w:rPr>
        <w:t xml:space="preserve"> для </w:t>
      </w:r>
      <w:r w:rsidR="00117E35" w:rsidRPr="00225BFA">
        <w:rPr>
          <w:rStyle w:val="ab"/>
          <w:b w:val="0"/>
          <w:bCs/>
          <w:i/>
        </w:rPr>
        <w:t>физических лиц</w:t>
      </w:r>
      <w:r w:rsidRPr="00225BFA">
        <w:rPr>
          <w:rStyle w:val="ab"/>
          <w:b w:val="0"/>
          <w:bCs/>
          <w:i/>
        </w:rPr>
        <w:t xml:space="preserve"> в 2013 году – драйвер роста всего рынка МФО</w:t>
      </w:r>
    </w:p>
    <w:p w:rsidR="0023234B" w:rsidRPr="00225BFA" w:rsidRDefault="002C5C63" w:rsidP="006870D1">
      <w:pPr>
        <w:contextualSpacing/>
        <w:jc w:val="center"/>
        <w:rPr>
          <w:rStyle w:val="ab"/>
          <w:b w:val="0"/>
          <w:bCs/>
          <w:u w:val="single"/>
        </w:rPr>
      </w:pPr>
      <w:r w:rsidRPr="00225BFA">
        <w:rPr>
          <w:noProof/>
        </w:rPr>
        <w:drawing>
          <wp:inline distT="0" distB="0" distL="0" distR="0" wp14:anchorId="626A4039" wp14:editId="212EC016">
            <wp:extent cx="6236335" cy="3828415"/>
            <wp:effectExtent l="0" t="0" r="0" b="63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35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B" w:rsidRPr="00225BFA" w:rsidRDefault="0023234B" w:rsidP="006870D1">
      <w:pPr>
        <w:jc w:val="right"/>
        <w:rPr>
          <w:i/>
        </w:rPr>
      </w:pPr>
      <w:r w:rsidRPr="00225BFA">
        <w:rPr>
          <w:b/>
          <w:i/>
        </w:rPr>
        <w:t>Источник:</w:t>
      </w:r>
      <w:r w:rsidRPr="00225BFA">
        <w:rPr>
          <w:i/>
        </w:rPr>
        <w:t xml:space="preserve"> «Эксперт РА», по результатам анкетирования МФО</w:t>
      </w:r>
    </w:p>
    <w:p w:rsidR="0023234B" w:rsidRPr="00225BFA" w:rsidRDefault="0023234B" w:rsidP="00A64D5A">
      <w:pPr>
        <w:ind w:left="-180"/>
        <w:jc w:val="both"/>
        <w:rPr>
          <w:rFonts w:eastAsia="Arial Unicode MS"/>
          <w:bCs/>
        </w:rPr>
      </w:pPr>
    </w:p>
    <w:p w:rsidR="0023234B" w:rsidRPr="00225BFA" w:rsidRDefault="0023234B" w:rsidP="00A64D5A">
      <w:pPr>
        <w:ind w:left="-180"/>
        <w:jc w:val="both"/>
        <w:rPr>
          <w:rFonts w:eastAsia="Arial Unicode MS"/>
          <w:bCs/>
        </w:rPr>
      </w:pPr>
    </w:p>
    <w:p w:rsidR="00D350C0" w:rsidRPr="00225BFA" w:rsidRDefault="00D350C0" w:rsidP="00D350C0">
      <w:pPr>
        <w:contextualSpacing/>
        <w:jc w:val="center"/>
        <w:rPr>
          <w:rStyle w:val="ab"/>
          <w:b w:val="0"/>
          <w:u w:val="single"/>
        </w:rPr>
      </w:pPr>
      <w:r w:rsidRPr="00225BFA">
        <w:rPr>
          <w:rStyle w:val="ab"/>
          <w:b w:val="0"/>
          <w:u w:val="single"/>
        </w:rPr>
        <w:t xml:space="preserve">График 4. Доля просроченной задолженности по </w:t>
      </w:r>
      <w:proofErr w:type="spellStart"/>
      <w:r w:rsidRPr="00225BFA">
        <w:rPr>
          <w:rStyle w:val="ab"/>
          <w:b w:val="0"/>
          <w:u w:val="single"/>
        </w:rPr>
        <w:t>микрозаймам</w:t>
      </w:r>
      <w:proofErr w:type="spellEnd"/>
      <w:r w:rsidRPr="00225BFA">
        <w:rPr>
          <w:rStyle w:val="ab"/>
          <w:b w:val="0"/>
          <w:u w:val="single"/>
        </w:rPr>
        <w:t xml:space="preserve"> ФЛ более чем в 2 раза выше показателя по портфелю ЮЛ и ИП</w:t>
      </w:r>
    </w:p>
    <w:p w:rsidR="00D350C0" w:rsidRPr="00225BFA" w:rsidRDefault="00D350C0" w:rsidP="00D350C0">
      <w:pPr>
        <w:contextualSpacing/>
        <w:rPr>
          <w:rStyle w:val="ab"/>
          <w:b w:val="0"/>
          <w:u w:val="single"/>
        </w:rPr>
      </w:pPr>
      <w:r w:rsidRPr="00225BFA">
        <w:rPr>
          <w:bCs/>
          <w:noProof/>
        </w:rPr>
        <w:lastRenderedPageBreak/>
        <w:drawing>
          <wp:inline distT="0" distB="0" distL="0" distR="0" wp14:anchorId="198BC10B" wp14:editId="21798D8D">
            <wp:extent cx="5937250" cy="388937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0C0" w:rsidRPr="00225BFA" w:rsidRDefault="00D350C0" w:rsidP="00D350C0">
      <w:pPr>
        <w:contextualSpacing/>
        <w:jc w:val="right"/>
        <w:rPr>
          <w:i/>
        </w:rPr>
      </w:pPr>
      <w:r w:rsidRPr="00225BFA">
        <w:rPr>
          <w:b/>
          <w:i/>
        </w:rPr>
        <w:t>Источник:</w:t>
      </w:r>
      <w:r w:rsidRPr="00225BFA">
        <w:rPr>
          <w:i/>
        </w:rPr>
        <w:t xml:space="preserve"> «Эксперт РА», по результатам анкетирования МФО</w:t>
      </w:r>
    </w:p>
    <w:p w:rsidR="0023234B" w:rsidRPr="00225BFA" w:rsidRDefault="0023234B" w:rsidP="00F86796">
      <w:pPr>
        <w:contextualSpacing/>
        <w:jc w:val="center"/>
        <w:rPr>
          <w:rStyle w:val="ab"/>
          <w:bCs/>
          <w:i/>
        </w:rPr>
      </w:pPr>
    </w:p>
    <w:p w:rsidR="0023234B" w:rsidRPr="00225BFA" w:rsidRDefault="0023234B" w:rsidP="00F86796">
      <w:pPr>
        <w:contextualSpacing/>
        <w:jc w:val="center"/>
        <w:rPr>
          <w:rStyle w:val="ab"/>
          <w:bCs/>
          <w:i/>
        </w:rPr>
      </w:pPr>
    </w:p>
    <w:p w:rsidR="0023234B" w:rsidRPr="00225BFA" w:rsidRDefault="0023234B" w:rsidP="00F86796">
      <w:pPr>
        <w:contextualSpacing/>
        <w:jc w:val="center"/>
        <w:rPr>
          <w:rStyle w:val="ab"/>
          <w:b w:val="0"/>
          <w:bCs/>
          <w:i/>
        </w:rPr>
      </w:pPr>
      <w:r w:rsidRPr="00225BFA">
        <w:rPr>
          <w:rStyle w:val="ab"/>
          <w:bCs/>
          <w:i/>
        </w:rPr>
        <w:t xml:space="preserve">График </w:t>
      </w:r>
      <w:r w:rsidR="00D350C0" w:rsidRPr="00225BFA">
        <w:rPr>
          <w:rStyle w:val="ab"/>
          <w:bCs/>
          <w:i/>
        </w:rPr>
        <w:t>5</w:t>
      </w:r>
      <w:r w:rsidRPr="00225BFA">
        <w:rPr>
          <w:rStyle w:val="ab"/>
          <w:bCs/>
          <w:i/>
        </w:rPr>
        <w:t xml:space="preserve">. </w:t>
      </w:r>
      <w:r w:rsidRPr="00225BFA">
        <w:rPr>
          <w:rStyle w:val="ab"/>
          <w:b w:val="0"/>
          <w:bCs/>
          <w:i/>
        </w:rPr>
        <w:t>Свыше 600 МФО покинуло реестр в 2013 году</w:t>
      </w:r>
    </w:p>
    <w:p w:rsidR="0023234B" w:rsidRPr="00225BFA" w:rsidRDefault="002C5C63" w:rsidP="00F86796">
      <w:pPr>
        <w:ind w:left="-180"/>
        <w:jc w:val="center"/>
        <w:rPr>
          <w:rFonts w:eastAsia="Arial Unicode MS"/>
          <w:bCs/>
        </w:rPr>
      </w:pPr>
      <w:r w:rsidRPr="00225BFA">
        <w:rPr>
          <w:rFonts w:eastAsia="Arial Unicode MS"/>
          <w:noProof/>
        </w:rPr>
        <w:drawing>
          <wp:inline distT="0" distB="0" distL="0" distR="0" wp14:anchorId="4F3829CC" wp14:editId="38A84D34">
            <wp:extent cx="5291455" cy="3535680"/>
            <wp:effectExtent l="0" t="0" r="4445" b="762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B" w:rsidRPr="00225BFA" w:rsidRDefault="0023234B" w:rsidP="00F86796">
      <w:pPr>
        <w:jc w:val="right"/>
        <w:rPr>
          <w:i/>
        </w:rPr>
      </w:pPr>
      <w:r w:rsidRPr="00225BFA">
        <w:rPr>
          <w:b/>
          <w:i/>
        </w:rPr>
        <w:t>Источник:</w:t>
      </w:r>
      <w:r w:rsidRPr="00225BFA">
        <w:rPr>
          <w:i/>
        </w:rPr>
        <w:t xml:space="preserve"> ЦБ РФ, реестр МФО</w:t>
      </w:r>
    </w:p>
    <w:p w:rsidR="0023234B" w:rsidRPr="00225BFA" w:rsidRDefault="0023234B" w:rsidP="00A64D5A">
      <w:pPr>
        <w:ind w:left="-180"/>
        <w:jc w:val="both"/>
        <w:rPr>
          <w:rFonts w:eastAsia="Arial Unicode MS"/>
          <w:bCs/>
        </w:rPr>
      </w:pPr>
    </w:p>
    <w:p w:rsidR="0023234B" w:rsidRPr="00225BFA" w:rsidRDefault="0023234B" w:rsidP="006B5CC3">
      <w:pPr>
        <w:contextualSpacing/>
        <w:jc w:val="center"/>
        <w:rPr>
          <w:rStyle w:val="ab"/>
          <w:bCs/>
          <w:i/>
        </w:rPr>
      </w:pPr>
      <w:r w:rsidRPr="00225BFA">
        <w:rPr>
          <w:rStyle w:val="ab"/>
          <w:bCs/>
          <w:i/>
        </w:rPr>
        <w:t xml:space="preserve">График </w:t>
      </w:r>
      <w:r w:rsidR="00D350C0" w:rsidRPr="00225BFA">
        <w:rPr>
          <w:rStyle w:val="ab"/>
          <w:bCs/>
          <w:i/>
        </w:rPr>
        <w:t>6</w:t>
      </w:r>
      <w:r w:rsidRPr="00225BFA">
        <w:rPr>
          <w:rStyle w:val="ab"/>
          <w:bCs/>
          <w:i/>
        </w:rPr>
        <w:t xml:space="preserve">. </w:t>
      </w:r>
      <w:r w:rsidRPr="00225BFA">
        <w:rPr>
          <w:rStyle w:val="ab"/>
          <w:b w:val="0"/>
          <w:bCs/>
          <w:i/>
        </w:rPr>
        <w:t>На 01.01.2014 около 1/3 опрошенных МФО являются участниками СРО</w:t>
      </w:r>
    </w:p>
    <w:p w:rsidR="0023234B" w:rsidRPr="00225BFA" w:rsidRDefault="002C5C63" w:rsidP="006B5CC3">
      <w:pPr>
        <w:jc w:val="center"/>
      </w:pPr>
      <w:r w:rsidRPr="00225BFA">
        <w:rPr>
          <w:noProof/>
        </w:rPr>
        <w:lastRenderedPageBreak/>
        <w:drawing>
          <wp:inline distT="0" distB="0" distL="0" distR="0" wp14:anchorId="2BA6926B" wp14:editId="304BD423">
            <wp:extent cx="4584065" cy="2755265"/>
            <wp:effectExtent l="0" t="0" r="6985" b="6985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B" w:rsidRPr="00225BFA" w:rsidRDefault="0023234B" w:rsidP="006B5CC3">
      <w:pPr>
        <w:ind w:left="-180"/>
        <w:jc w:val="right"/>
        <w:rPr>
          <w:i/>
        </w:rPr>
      </w:pPr>
      <w:r w:rsidRPr="00225BFA">
        <w:rPr>
          <w:b/>
          <w:i/>
        </w:rPr>
        <w:t>Источник:</w:t>
      </w:r>
      <w:r w:rsidRPr="00225BFA">
        <w:rPr>
          <w:i/>
        </w:rPr>
        <w:t xml:space="preserve"> «Эксперт РА», по результатам анкетирования МФО</w:t>
      </w:r>
    </w:p>
    <w:p w:rsidR="0023234B" w:rsidRPr="00225BFA" w:rsidRDefault="0023234B" w:rsidP="006B5CC3">
      <w:pPr>
        <w:ind w:left="-180"/>
        <w:jc w:val="right"/>
        <w:rPr>
          <w:rFonts w:eastAsia="Arial Unicode MS"/>
          <w:bCs/>
        </w:rPr>
      </w:pPr>
    </w:p>
    <w:p w:rsidR="0023234B" w:rsidRPr="00225BFA" w:rsidRDefault="0023234B" w:rsidP="006B5CC3">
      <w:pPr>
        <w:ind w:left="-180"/>
        <w:jc w:val="right"/>
        <w:rPr>
          <w:rFonts w:eastAsia="Arial Unicode MS"/>
          <w:bCs/>
        </w:rPr>
      </w:pPr>
    </w:p>
    <w:p w:rsidR="0023234B" w:rsidRPr="00225BFA" w:rsidRDefault="0023234B" w:rsidP="006B5CC3">
      <w:pPr>
        <w:contextualSpacing/>
        <w:jc w:val="center"/>
        <w:rPr>
          <w:rStyle w:val="ab"/>
          <w:bCs/>
          <w:i/>
        </w:rPr>
      </w:pPr>
      <w:r w:rsidRPr="00225BFA">
        <w:rPr>
          <w:rStyle w:val="ab"/>
          <w:bCs/>
          <w:i/>
        </w:rPr>
        <w:t xml:space="preserve">График </w:t>
      </w:r>
      <w:r w:rsidR="00D350C0" w:rsidRPr="00225BFA">
        <w:rPr>
          <w:rStyle w:val="ab"/>
          <w:bCs/>
          <w:i/>
        </w:rPr>
        <w:t>7</w:t>
      </w:r>
      <w:r w:rsidRPr="00225BFA">
        <w:rPr>
          <w:rStyle w:val="ab"/>
          <w:bCs/>
          <w:i/>
        </w:rPr>
        <w:t xml:space="preserve">. </w:t>
      </w:r>
      <w:r w:rsidRPr="00225BFA">
        <w:rPr>
          <w:rStyle w:val="ab"/>
          <w:b w:val="0"/>
          <w:bCs/>
          <w:i/>
        </w:rPr>
        <w:t>На 01.01.2014 три четверти опрошенных МФО пользуются услугами БКИ</w:t>
      </w:r>
      <w:r w:rsidRPr="00225BFA">
        <w:rPr>
          <w:rStyle w:val="ab"/>
          <w:bCs/>
          <w:i/>
        </w:rPr>
        <w:t xml:space="preserve"> </w:t>
      </w:r>
    </w:p>
    <w:p w:rsidR="0023234B" w:rsidRPr="00225BFA" w:rsidRDefault="002C5C63" w:rsidP="006B5CC3">
      <w:pPr>
        <w:contextualSpacing/>
        <w:jc w:val="center"/>
        <w:rPr>
          <w:rStyle w:val="ab"/>
          <w:b w:val="0"/>
          <w:bCs/>
          <w:u w:val="single"/>
        </w:rPr>
      </w:pPr>
      <w:r w:rsidRPr="00225BFA">
        <w:rPr>
          <w:noProof/>
        </w:rPr>
        <w:drawing>
          <wp:inline distT="0" distB="0" distL="0" distR="0" wp14:anchorId="6815FE35" wp14:editId="2EC619A3">
            <wp:extent cx="4584065" cy="2755265"/>
            <wp:effectExtent l="0" t="0" r="6985" b="6985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B" w:rsidRPr="00225BFA" w:rsidRDefault="0023234B" w:rsidP="006B5CC3">
      <w:pPr>
        <w:contextualSpacing/>
        <w:jc w:val="right"/>
        <w:rPr>
          <w:i/>
        </w:rPr>
      </w:pPr>
      <w:r w:rsidRPr="00225BFA">
        <w:rPr>
          <w:b/>
          <w:i/>
        </w:rPr>
        <w:t>Источник:</w:t>
      </w:r>
      <w:r w:rsidRPr="00225BFA">
        <w:rPr>
          <w:i/>
        </w:rPr>
        <w:t xml:space="preserve"> «Эксперт РА», по результатам анкетирования МФО</w:t>
      </w:r>
    </w:p>
    <w:p w:rsidR="0023234B" w:rsidRPr="00225BFA" w:rsidRDefault="0023234B" w:rsidP="006B5CC3">
      <w:pPr>
        <w:ind w:left="-180"/>
        <w:jc w:val="right"/>
        <w:rPr>
          <w:rFonts w:eastAsia="Arial Unicode MS"/>
          <w:bCs/>
        </w:rPr>
      </w:pPr>
    </w:p>
    <w:p w:rsidR="006C06DD" w:rsidRPr="00225BFA" w:rsidRDefault="006C06DD" w:rsidP="006C06DD">
      <w:pPr>
        <w:ind w:left="709"/>
        <w:contextualSpacing/>
        <w:rPr>
          <w:rStyle w:val="ab"/>
          <w:b w:val="0"/>
          <w:u w:val="single"/>
        </w:rPr>
      </w:pPr>
    </w:p>
    <w:p w:rsidR="006C06DD" w:rsidRPr="00225BFA" w:rsidRDefault="0023234B" w:rsidP="00A64D5A">
      <w:pPr>
        <w:ind w:left="-180"/>
        <w:jc w:val="both"/>
      </w:pPr>
      <w:r w:rsidRPr="00225BFA">
        <w:tab/>
      </w:r>
      <w:r w:rsidRPr="00225BFA">
        <w:tab/>
      </w:r>
    </w:p>
    <w:p w:rsidR="006C06DD" w:rsidRPr="00225BFA" w:rsidRDefault="006C06DD" w:rsidP="00A64D5A">
      <w:pPr>
        <w:ind w:left="-180"/>
        <w:jc w:val="both"/>
      </w:pPr>
    </w:p>
    <w:p w:rsidR="0023234B" w:rsidRPr="00225BFA" w:rsidRDefault="0023234B" w:rsidP="006C06DD">
      <w:pPr>
        <w:ind w:left="-180" w:firstLine="889"/>
        <w:jc w:val="both"/>
      </w:pPr>
      <w:r w:rsidRPr="00225BFA">
        <w:t xml:space="preserve">На текущем этапе развития рынок </w:t>
      </w:r>
      <w:proofErr w:type="spellStart"/>
      <w:r w:rsidRPr="00225BFA">
        <w:t>микрозаймов</w:t>
      </w:r>
      <w:proofErr w:type="spellEnd"/>
      <w:r w:rsidRPr="00225BFA">
        <w:t xml:space="preserve"> и надзор </w:t>
      </w:r>
      <w:r w:rsidR="00117E35" w:rsidRPr="00225BFA">
        <w:t>над</w:t>
      </w:r>
      <w:r w:rsidRPr="00225BFA">
        <w:t xml:space="preserve"> ним </w:t>
      </w:r>
      <w:r w:rsidR="00117E35" w:rsidRPr="00225BFA">
        <w:t>только</w:t>
      </w:r>
      <w:r w:rsidRPr="00225BFA">
        <w:t xml:space="preserve"> формир</w:t>
      </w:r>
      <w:r w:rsidR="00117E35" w:rsidRPr="00225BFA">
        <w:t>уются</w:t>
      </w:r>
      <w:r w:rsidRPr="00225BFA">
        <w:t xml:space="preserve">. На рынке МФО работают компании, выдающие </w:t>
      </w:r>
      <w:r w:rsidR="00E87243" w:rsidRPr="00225BFA">
        <w:t xml:space="preserve">займы </w:t>
      </w:r>
      <w:r w:rsidRPr="00225BFA">
        <w:t xml:space="preserve">по </w:t>
      </w:r>
      <w:r w:rsidR="00E87243" w:rsidRPr="00225BFA">
        <w:t xml:space="preserve">очень </w:t>
      </w:r>
      <w:r w:rsidRPr="00225BFA">
        <w:t>высоким процентным ставкам (</w:t>
      </w:r>
      <w:r w:rsidR="00117E35" w:rsidRPr="00225BFA">
        <w:t xml:space="preserve">под </w:t>
      </w:r>
      <w:r w:rsidRPr="00225BFA">
        <w:t>тысяч</w:t>
      </w:r>
      <w:r w:rsidR="00117E35" w:rsidRPr="00225BFA">
        <w:t>у</w:t>
      </w:r>
      <w:r w:rsidRPr="00225BFA">
        <w:t xml:space="preserve"> процентов годовых) и использующие сомнительные методы по возврату сре</w:t>
      </w:r>
      <w:proofErr w:type="gramStart"/>
      <w:r w:rsidRPr="00225BFA">
        <w:t>дств с пр</w:t>
      </w:r>
      <w:proofErr w:type="gramEnd"/>
      <w:r w:rsidRPr="00225BFA">
        <w:t>облемных заемщиков</w:t>
      </w:r>
      <w:r w:rsidR="006C06DD" w:rsidRPr="00225BFA">
        <w:t>. При этом</w:t>
      </w:r>
      <w:r w:rsidRPr="00225BFA">
        <w:t xml:space="preserve"> высока доля «серого» рынка (компании, не состоящие в реестре МФО и не носящие статус </w:t>
      </w:r>
      <w:proofErr w:type="spellStart"/>
      <w:r w:rsidRPr="00225BFA">
        <w:t>микрофинансовых</w:t>
      </w:r>
      <w:proofErr w:type="spellEnd"/>
      <w:r w:rsidRPr="00225BFA">
        <w:t xml:space="preserve"> организаций), который создает негативный информационный фон вокруг «легального» рынка </w:t>
      </w:r>
      <w:proofErr w:type="spellStart"/>
      <w:r w:rsidRPr="00225BFA">
        <w:t>микрозаймов</w:t>
      </w:r>
      <w:proofErr w:type="spellEnd"/>
      <w:r w:rsidRPr="00225BFA">
        <w:t xml:space="preserve">. </w:t>
      </w:r>
    </w:p>
    <w:p w:rsidR="0023234B" w:rsidRPr="00225BFA" w:rsidRDefault="0023234B" w:rsidP="0067610A">
      <w:pPr>
        <w:ind w:left="-180"/>
        <w:jc w:val="both"/>
      </w:pPr>
      <w:r w:rsidRPr="00225BFA">
        <w:tab/>
      </w:r>
      <w:r w:rsidRPr="00225BFA">
        <w:tab/>
        <w:t xml:space="preserve">С сентября 2013 года надзор и регулирование </w:t>
      </w:r>
      <w:r w:rsidR="00117E35" w:rsidRPr="00225BFA">
        <w:t>над</w:t>
      </w:r>
      <w:r w:rsidRPr="00225BFA">
        <w:t xml:space="preserve"> рынком МФО перешло к ЦБ РФ. В 2014 году озвучены планы по ряду регулятивных новаций</w:t>
      </w:r>
      <w:r w:rsidRPr="00225BFA">
        <w:rPr>
          <w:color w:val="000000"/>
        </w:rPr>
        <w:t xml:space="preserve"> (обязательное членство МФО в СРО</w:t>
      </w:r>
      <w:r w:rsidRPr="00225BFA">
        <w:t xml:space="preserve">, правила формирования резервов под потери по займам), а часть из них уже вступила в силу (в </w:t>
      </w:r>
      <w:proofErr w:type="spellStart"/>
      <w:r w:rsidRPr="00225BFA">
        <w:t>т.ч</w:t>
      </w:r>
      <w:proofErr w:type="spellEnd"/>
      <w:r w:rsidRPr="00225BFA">
        <w:t xml:space="preserve">. ограничение ставок и штрафных санкций согласно закону 353-ФЗ «О потребительском кредите (займе)», </w:t>
      </w:r>
      <w:r w:rsidRPr="00225BFA">
        <w:rPr>
          <w:color w:val="000000"/>
        </w:rPr>
        <w:t xml:space="preserve">переход на </w:t>
      </w:r>
      <w:proofErr w:type="gramStart"/>
      <w:r w:rsidRPr="00225BFA">
        <w:rPr>
          <w:color w:val="000000"/>
        </w:rPr>
        <w:t>ОСН</w:t>
      </w:r>
      <w:proofErr w:type="gramEnd"/>
      <w:r w:rsidRPr="00225BFA">
        <w:rPr>
          <w:color w:val="000000"/>
        </w:rPr>
        <w:t xml:space="preserve">). </w:t>
      </w:r>
      <w:r w:rsidRPr="00225BFA">
        <w:t xml:space="preserve">Все эти новации призваны сделать </w:t>
      </w:r>
      <w:proofErr w:type="spellStart"/>
      <w:r w:rsidRPr="00225BFA">
        <w:t>микрофинансовый</w:t>
      </w:r>
      <w:proofErr w:type="spellEnd"/>
      <w:r w:rsidRPr="00225BFA">
        <w:t xml:space="preserve"> рынок более цивилизованным.</w:t>
      </w:r>
    </w:p>
    <w:p w:rsidR="0023234B" w:rsidRPr="00225BFA" w:rsidRDefault="0023234B" w:rsidP="00A64D5A">
      <w:pPr>
        <w:ind w:left="-180"/>
        <w:jc w:val="both"/>
      </w:pPr>
    </w:p>
    <w:p w:rsidR="0023234B" w:rsidRPr="00225BFA" w:rsidRDefault="0023234B" w:rsidP="007F1442">
      <w:pPr>
        <w:ind w:left="-180"/>
        <w:jc w:val="both"/>
        <w:rPr>
          <w:rFonts w:eastAsia="Arial Unicode MS"/>
          <w:bCs/>
          <w:sz w:val="32"/>
          <w:szCs w:val="32"/>
        </w:rPr>
      </w:pPr>
      <w:r w:rsidRPr="00225BFA">
        <w:rPr>
          <w:rFonts w:eastAsia="Arial Unicode MS"/>
          <w:bCs/>
          <w:sz w:val="32"/>
          <w:szCs w:val="32"/>
        </w:rPr>
        <w:t xml:space="preserve">Часть 3. Ключевые </w:t>
      </w:r>
      <w:r w:rsidR="009150C1" w:rsidRPr="00225BFA">
        <w:rPr>
          <w:rFonts w:eastAsia="Arial Unicode MS"/>
          <w:bCs/>
          <w:sz w:val="32"/>
          <w:szCs w:val="32"/>
        </w:rPr>
        <w:t>меры по развитию рынка микрофинансирования</w:t>
      </w:r>
    </w:p>
    <w:p w:rsidR="0023234B" w:rsidRPr="00225BFA" w:rsidRDefault="0023234B" w:rsidP="007F1442">
      <w:pPr>
        <w:jc w:val="both"/>
        <w:rPr>
          <w:rFonts w:eastAsia="Arial Unicode MS"/>
          <w:bCs/>
          <w:sz w:val="32"/>
          <w:szCs w:val="32"/>
        </w:rPr>
      </w:pPr>
    </w:p>
    <w:p w:rsidR="0023234B" w:rsidRPr="00225BFA" w:rsidRDefault="0023234B" w:rsidP="007F1442">
      <w:pPr>
        <w:pStyle w:val="a4"/>
        <w:numPr>
          <w:ilvl w:val="0"/>
          <w:numId w:val="13"/>
        </w:numPr>
        <w:jc w:val="both"/>
        <w:rPr>
          <w:rFonts w:eastAsia="Arial Unicode MS"/>
          <w:bCs/>
          <w:sz w:val="32"/>
          <w:szCs w:val="32"/>
        </w:rPr>
      </w:pPr>
      <w:r w:rsidRPr="00225BFA">
        <w:rPr>
          <w:b/>
        </w:rPr>
        <w:t xml:space="preserve">Сокращение доли нерегулируемого рынка возможно за счет предоставления привилегий участникам реестра МФО и введения ограничений на выдачу займов компаниям, не занимающихся </w:t>
      </w:r>
      <w:proofErr w:type="spellStart"/>
      <w:r w:rsidRPr="00225BFA">
        <w:rPr>
          <w:b/>
        </w:rPr>
        <w:t>микрофинансовой</w:t>
      </w:r>
      <w:proofErr w:type="spellEnd"/>
      <w:r w:rsidRPr="00225BFA">
        <w:rPr>
          <w:b/>
        </w:rPr>
        <w:t xml:space="preserve"> деятельностью.</w:t>
      </w:r>
    </w:p>
    <w:p w:rsidR="0023234B" w:rsidRPr="00225BFA" w:rsidRDefault="0023234B" w:rsidP="00036F41">
      <w:pPr>
        <w:pStyle w:val="a4"/>
        <w:ind w:left="180"/>
        <w:jc w:val="both"/>
        <w:rPr>
          <w:b/>
        </w:rPr>
      </w:pPr>
    </w:p>
    <w:p w:rsidR="0023234B" w:rsidRPr="00225BFA" w:rsidRDefault="0023234B" w:rsidP="006B5CC3">
      <w:pPr>
        <w:pStyle w:val="a4"/>
        <w:numPr>
          <w:ilvl w:val="0"/>
          <w:numId w:val="9"/>
        </w:numPr>
        <w:jc w:val="both"/>
      </w:pPr>
      <w:r w:rsidRPr="00225BFA">
        <w:t>Действующие ограничения на размещение рекламы для компаний, не входящих в реестр, и грядущие ограничения по количеству выданных займов за период (поправки в ГК РФ), позволят частично снизить долю нерегулируемого рынка.</w:t>
      </w:r>
    </w:p>
    <w:p w:rsidR="0023234B" w:rsidRPr="00225BFA" w:rsidRDefault="0023234B" w:rsidP="00280133">
      <w:pPr>
        <w:pStyle w:val="a4"/>
        <w:numPr>
          <w:ilvl w:val="0"/>
          <w:numId w:val="9"/>
        </w:numPr>
        <w:jc w:val="both"/>
      </w:pPr>
      <w:r w:rsidRPr="00225BFA">
        <w:t xml:space="preserve">Для сбалансированного развития рынка необходимо вести работу сразу по двум направлениям: ограничить деятельность «нелегальных» МФО и одновременно повышать привлекательность легального рынка </w:t>
      </w:r>
      <w:proofErr w:type="spellStart"/>
      <w:r w:rsidRPr="00225BFA">
        <w:t>микрозаймов</w:t>
      </w:r>
      <w:proofErr w:type="spellEnd"/>
      <w:r w:rsidRPr="00225BFA">
        <w:t xml:space="preserve"> (например,  расширение доступа к рыночному фондированию и более лояльное регулирование рынка (в сравнении с банковской системой)).</w:t>
      </w:r>
    </w:p>
    <w:p w:rsidR="0023234B" w:rsidRPr="00225BFA" w:rsidRDefault="0023234B" w:rsidP="00705BA3">
      <w:pPr>
        <w:pStyle w:val="a4"/>
        <w:ind w:left="180" w:firstLine="528"/>
        <w:jc w:val="both"/>
      </w:pPr>
    </w:p>
    <w:p w:rsidR="0023234B" w:rsidRPr="00225BFA" w:rsidRDefault="006C06DD" w:rsidP="007F1442">
      <w:pPr>
        <w:pStyle w:val="a4"/>
        <w:numPr>
          <w:ilvl w:val="0"/>
          <w:numId w:val="13"/>
        </w:numPr>
        <w:jc w:val="both"/>
        <w:rPr>
          <w:b/>
        </w:rPr>
      </w:pPr>
      <w:r w:rsidRPr="00225BFA">
        <w:rPr>
          <w:b/>
        </w:rPr>
        <w:t xml:space="preserve">Повышение доступности </w:t>
      </w:r>
      <w:proofErr w:type="spellStart"/>
      <w:r w:rsidR="00644597" w:rsidRPr="00225BFA">
        <w:rPr>
          <w:b/>
        </w:rPr>
        <w:t>микрозаймов</w:t>
      </w:r>
      <w:proofErr w:type="spellEnd"/>
      <w:r w:rsidR="00644597" w:rsidRPr="00225BFA">
        <w:rPr>
          <w:b/>
        </w:rPr>
        <w:t xml:space="preserve"> для малого бизнеса как за счет </w:t>
      </w:r>
      <w:r w:rsidR="00840286" w:rsidRPr="00225BFA">
        <w:rPr>
          <w:b/>
        </w:rPr>
        <w:t xml:space="preserve">предоставления </w:t>
      </w:r>
      <w:r w:rsidR="00644597" w:rsidRPr="00225BFA">
        <w:rPr>
          <w:b/>
        </w:rPr>
        <w:t xml:space="preserve">преференций участникам рынка, так и </w:t>
      </w:r>
      <w:r w:rsidR="00840286" w:rsidRPr="00225BFA">
        <w:rPr>
          <w:b/>
        </w:rPr>
        <w:t xml:space="preserve">путем </w:t>
      </w:r>
      <w:r w:rsidR="00644597" w:rsidRPr="00225BFA">
        <w:rPr>
          <w:b/>
        </w:rPr>
        <w:t>расширения программ господдержки сегмента</w:t>
      </w:r>
    </w:p>
    <w:p w:rsidR="0023234B" w:rsidRPr="00225BFA" w:rsidRDefault="0023234B" w:rsidP="007F1442">
      <w:pPr>
        <w:pStyle w:val="a4"/>
        <w:jc w:val="both"/>
        <w:rPr>
          <w:b/>
        </w:rPr>
      </w:pPr>
    </w:p>
    <w:p w:rsidR="0023234B" w:rsidRPr="00225BFA" w:rsidRDefault="0023234B" w:rsidP="003E5F8D">
      <w:pPr>
        <w:pStyle w:val="a4"/>
        <w:numPr>
          <w:ilvl w:val="0"/>
          <w:numId w:val="9"/>
        </w:numPr>
        <w:jc w:val="both"/>
      </w:pPr>
      <w:r w:rsidRPr="00225BFA">
        <w:t xml:space="preserve">Задача по повышению доступности </w:t>
      </w:r>
      <w:proofErr w:type="spellStart"/>
      <w:r w:rsidRPr="00225BFA">
        <w:t>микрозаймов</w:t>
      </w:r>
      <w:proofErr w:type="spellEnd"/>
      <w:r w:rsidRPr="00225BFA">
        <w:t xml:space="preserve"> должна быть ориентирована на сегмент малого и </w:t>
      </w:r>
      <w:proofErr w:type="spellStart"/>
      <w:r w:rsidRPr="00225BFA">
        <w:t>микробизнеса</w:t>
      </w:r>
      <w:proofErr w:type="spellEnd"/>
      <w:r w:rsidRPr="00225BFA">
        <w:t xml:space="preserve"> как один из драйверов нового витка экономического роста. При этом темпы роста портфеля </w:t>
      </w:r>
      <w:proofErr w:type="spellStart"/>
      <w:r w:rsidRPr="00225BFA">
        <w:t>микрозаймов</w:t>
      </w:r>
      <w:proofErr w:type="spellEnd"/>
      <w:r w:rsidRPr="00225BFA">
        <w:t xml:space="preserve"> физ</w:t>
      </w:r>
      <w:r w:rsidR="00117E35" w:rsidRPr="00225BFA">
        <w:t xml:space="preserve">ическим </w:t>
      </w:r>
      <w:r w:rsidRPr="00225BFA">
        <w:t>лицам должны быть ограничены.</w:t>
      </w:r>
    </w:p>
    <w:p w:rsidR="0023234B" w:rsidRPr="00225BFA" w:rsidRDefault="0023234B" w:rsidP="003E5F8D">
      <w:pPr>
        <w:pStyle w:val="a4"/>
        <w:numPr>
          <w:ilvl w:val="0"/>
          <w:numId w:val="9"/>
        </w:numPr>
        <w:jc w:val="both"/>
      </w:pPr>
      <w:r w:rsidRPr="00225BFA">
        <w:t>Использование чисто регулятивных ограничений (в частности, ограничение полной стоимости займа) может привести к уходу части МФО с рынка вообще.</w:t>
      </w:r>
    </w:p>
    <w:p w:rsidR="00840286" w:rsidRPr="00225BFA" w:rsidRDefault="00840286" w:rsidP="003E5F8D">
      <w:pPr>
        <w:pStyle w:val="a4"/>
        <w:numPr>
          <w:ilvl w:val="0"/>
          <w:numId w:val="9"/>
        </w:numPr>
        <w:jc w:val="both"/>
      </w:pPr>
      <w:r w:rsidRPr="00225BFA">
        <w:t xml:space="preserve">Для расширения доступности </w:t>
      </w:r>
      <w:proofErr w:type="spellStart"/>
      <w:r w:rsidRPr="00225BFA">
        <w:t>микрозаймов</w:t>
      </w:r>
      <w:proofErr w:type="spellEnd"/>
      <w:r w:rsidRPr="00225BFA">
        <w:t xml:space="preserve"> для бизнеса необходимо повышать интерес к данному сегменту со стороны МФО. Среди ключевых инструментов предлагаются:</w:t>
      </w:r>
    </w:p>
    <w:p w:rsidR="0023234B" w:rsidRPr="00225BFA" w:rsidRDefault="0023234B" w:rsidP="00840286">
      <w:pPr>
        <w:pStyle w:val="a4"/>
        <w:numPr>
          <w:ilvl w:val="0"/>
          <w:numId w:val="18"/>
        </w:numPr>
        <w:ind w:left="2127" w:hanging="709"/>
        <w:jc w:val="both"/>
      </w:pPr>
      <w:r w:rsidRPr="00225BFA">
        <w:t>Предоставление регулятивных преференций</w:t>
      </w:r>
      <w:r w:rsidR="00840286" w:rsidRPr="00225BFA">
        <w:t xml:space="preserve"> при выдаче </w:t>
      </w:r>
      <w:proofErr w:type="spellStart"/>
      <w:r w:rsidR="00840286" w:rsidRPr="00225BFA">
        <w:t>микрозаймов</w:t>
      </w:r>
      <w:proofErr w:type="spellEnd"/>
      <w:r w:rsidR="00840286" w:rsidRPr="00225BFA">
        <w:t xml:space="preserve"> бизнесу. </w:t>
      </w:r>
      <w:r w:rsidRPr="00225BFA">
        <w:t>Преференции могут касаться более лояльных требований к обязательным нормативам  и резервам по проблемным займам.</w:t>
      </w:r>
    </w:p>
    <w:p w:rsidR="00840286" w:rsidRPr="00225BFA" w:rsidRDefault="00840286" w:rsidP="00840286">
      <w:pPr>
        <w:pStyle w:val="a4"/>
        <w:numPr>
          <w:ilvl w:val="0"/>
          <w:numId w:val="18"/>
        </w:numPr>
        <w:ind w:left="2127" w:hanging="709"/>
        <w:jc w:val="both"/>
      </w:pPr>
      <w:r w:rsidRPr="00225BFA">
        <w:t xml:space="preserve">Распространение поручительств гарантийных фондов на </w:t>
      </w:r>
      <w:proofErr w:type="spellStart"/>
      <w:r w:rsidRPr="00225BFA">
        <w:t>микрозаймы</w:t>
      </w:r>
      <w:proofErr w:type="spellEnd"/>
      <w:r w:rsidRPr="00225BFA">
        <w:t xml:space="preserve"> бизнесу.</w:t>
      </w:r>
    </w:p>
    <w:p w:rsidR="00840286" w:rsidRPr="00225BFA" w:rsidRDefault="00840286" w:rsidP="00840286">
      <w:pPr>
        <w:pStyle w:val="a4"/>
        <w:numPr>
          <w:ilvl w:val="0"/>
          <w:numId w:val="18"/>
        </w:numPr>
        <w:ind w:left="2127" w:hanging="709"/>
        <w:jc w:val="both"/>
      </w:pPr>
      <w:r w:rsidRPr="00225BFA">
        <w:t xml:space="preserve">Увеличение лимитов по программе МСП Банка для финансирования </w:t>
      </w:r>
      <w:proofErr w:type="spellStart"/>
      <w:r w:rsidRPr="00225BFA">
        <w:t>микрозаймов</w:t>
      </w:r>
      <w:proofErr w:type="spellEnd"/>
      <w:r w:rsidRPr="00225BFA">
        <w:t xml:space="preserve"> бизнесу, выдаваемых через МФО.</w:t>
      </w:r>
    </w:p>
    <w:p w:rsidR="00840286" w:rsidRPr="00225BFA" w:rsidRDefault="00840286" w:rsidP="00840286">
      <w:pPr>
        <w:pStyle w:val="a4"/>
        <w:numPr>
          <w:ilvl w:val="0"/>
          <w:numId w:val="18"/>
        </w:numPr>
        <w:ind w:left="2127" w:hanging="709"/>
        <w:jc w:val="both"/>
      </w:pPr>
      <w:r w:rsidRPr="00225BFA">
        <w:t xml:space="preserve">Субсидирование ставки по </w:t>
      </w:r>
      <w:proofErr w:type="spellStart"/>
      <w:r w:rsidRPr="00225BFA">
        <w:t>микрозаймам</w:t>
      </w:r>
      <w:proofErr w:type="spellEnd"/>
      <w:r w:rsidRPr="00225BFA">
        <w:t xml:space="preserve"> бизнесу. </w:t>
      </w:r>
    </w:p>
    <w:p w:rsidR="0023234B" w:rsidRPr="00225BFA" w:rsidRDefault="0023234B" w:rsidP="007F1442">
      <w:pPr>
        <w:pStyle w:val="a4"/>
        <w:jc w:val="both"/>
        <w:rPr>
          <w:b/>
        </w:rPr>
      </w:pPr>
    </w:p>
    <w:p w:rsidR="0023234B" w:rsidRPr="00225BFA" w:rsidRDefault="0023234B" w:rsidP="003D01E3">
      <w:pPr>
        <w:pStyle w:val="a4"/>
        <w:numPr>
          <w:ilvl w:val="0"/>
          <w:numId w:val="13"/>
        </w:numPr>
        <w:jc w:val="both"/>
        <w:rPr>
          <w:b/>
        </w:rPr>
      </w:pPr>
      <w:r w:rsidRPr="00225BFA">
        <w:rPr>
          <w:b/>
        </w:rPr>
        <w:t xml:space="preserve">Повысить качество портфелей </w:t>
      </w:r>
      <w:proofErr w:type="spellStart"/>
      <w:r w:rsidRPr="00225BFA">
        <w:rPr>
          <w:b/>
        </w:rPr>
        <w:t>микрозаймов</w:t>
      </w:r>
      <w:proofErr w:type="spellEnd"/>
      <w:r w:rsidRPr="00225BFA">
        <w:rPr>
          <w:b/>
        </w:rPr>
        <w:t xml:space="preserve"> позволит стандартизация работы МФО, в том числе за счет внедрения единых для МФО стандартов управления рисками и работы с просроченной задолженностью</w:t>
      </w:r>
    </w:p>
    <w:p w:rsidR="0023234B" w:rsidRPr="00225BFA" w:rsidRDefault="0023234B" w:rsidP="004873DF">
      <w:pPr>
        <w:jc w:val="both"/>
        <w:rPr>
          <w:b/>
        </w:rPr>
      </w:pPr>
    </w:p>
    <w:p w:rsidR="0023234B" w:rsidRPr="00225BFA" w:rsidRDefault="00E87243" w:rsidP="004873DF">
      <w:pPr>
        <w:pStyle w:val="a4"/>
        <w:numPr>
          <w:ilvl w:val="0"/>
          <w:numId w:val="9"/>
        </w:numPr>
        <w:jc w:val="both"/>
      </w:pPr>
      <w:r w:rsidRPr="00225BFA">
        <w:t>Отмечается</w:t>
      </w:r>
      <w:r w:rsidR="0023234B" w:rsidRPr="00225BFA">
        <w:t xml:space="preserve"> значительное ухудшение качества активов у МФО, работающих с физ</w:t>
      </w:r>
      <w:r w:rsidR="00117E35" w:rsidRPr="00225BFA">
        <w:t xml:space="preserve">ическими </w:t>
      </w:r>
      <w:r w:rsidR="0023234B" w:rsidRPr="00225BFA">
        <w:t xml:space="preserve">лицами. </w:t>
      </w:r>
      <w:r w:rsidRPr="00225BFA">
        <w:t>Так, в</w:t>
      </w:r>
      <w:r w:rsidR="0023234B" w:rsidRPr="00225BFA">
        <w:t xml:space="preserve"> 2013 году портфель </w:t>
      </w:r>
      <w:proofErr w:type="spellStart"/>
      <w:r w:rsidR="0023234B" w:rsidRPr="00225BFA">
        <w:t>микрозаймов</w:t>
      </w:r>
      <w:proofErr w:type="spellEnd"/>
      <w:r w:rsidR="0023234B" w:rsidRPr="00225BFA">
        <w:t xml:space="preserve"> «до зарплаты» вырос на 60%, а п</w:t>
      </w:r>
      <w:r w:rsidR="00117E35" w:rsidRPr="00225BFA">
        <w:t>росроченная задолженность</w:t>
      </w:r>
      <w:r w:rsidR="0023234B" w:rsidRPr="00225BFA">
        <w:t xml:space="preserve"> по нему - на 75%. Уровень </w:t>
      </w:r>
      <w:proofErr w:type="spellStart"/>
      <w:r w:rsidR="0023234B" w:rsidRPr="00225BFA">
        <w:t>дефолтности</w:t>
      </w:r>
      <w:proofErr w:type="spellEnd"/>
      <w:r w:rsidR="0023234B" w:rsidRPr="00225BFA">
        <w:t xml:space="preserve"> в сегменте </w:t>
      </w:r>
      <w:r w:rsidR="0023234B" w:rsidRPr="00225BFA">
        <w:rPr>
          <w:lang w:val="en-US"/>
        </w:rPr>
        <w:t>PDL</w:t>
      </w:r>
      <w:r w:rsidR="0023234B" w:rsidRPr="00225BFA">
        <w:t xml:space="preserve"> и </w:t>
      </w:r>
      <w:proofErr w:type="spellStart"/>
      <w:r w:rsidR="0023234B" w:rsidRPr="00225BFA">
        <w:t>микрозаймах</w:t>
      </w:r>
      <w:proofErr w:type="spellEnd"/>
      <w:r w:rsidR="0023234B" w:rsidRPr="00225BFA">
        <w:t xml:space="preserve"> бизнесу различается примерно в 5-6 раз.</w:t>
      </w:r>
    </w:p>
    <w:p w:rsidR="0023234B" w:rsidRPr="00225BFA" w:rsidRDefault="0023234B" w:rsidP="004873DF">
      <w:pPr>
        <w:pStyle w:val="a4"/>
        <w:numPr>
          <w:ilvl w:val="0"/>
          <w:numId w:val="9"/>
        </w:numPr>
        <w:jc w:val="both"/>
      </w:pPr>
      <w:r w:rsidRPr="00225BFA">
        <w:t xml:space="preserve">При работе с просроченной задолженностью отдельные компании используют </w:t>
      </w:r>
      <w:r w:rsidR="00E87243" w:rsidRPr="00225BFA">
        <w:t>незаконные</w:t>
      </w:r>
      <w:r w:rsidRPr="00225BFA">
        <w:t xml:space="preserve"> методы работы</w:t>
      </w:r>
      <w:r w:rsidR="00E87243" w:rsidRPr="00225BFA">
        <w:t xml:space="preserve"> (включающие в себя угрозы заемщикам)</w:t>
      </w:r>
      <w:r w:rsidRPr="00225BFA">
        <w:t>.</w:t>
      </w:r>
    </w:p>
    <w:p w:rsidR="0023234B" w:rsidRPr="00225BFA" w:rsidRDefault="0023234B" w:rsidP="004873DF">
      <w:pPr>
        <w:pStyle w:val="a4"/>
        <w:numPr>
          <w:ilvl w:val="0"/>
          <w:numId w:val="9"/>
        </w:numPr>
        <w:jc w:val="both"/>
      </w:pPr>
      <w:r w:rsidRPr="00225BFA">
        <w:t xml:space="preserve">Стимулирование компаний развивать сегмент </w:t>
      </w:r>
      <w:proofErr w:type="spellStart"/>
      <w:r w:rsidRPr="00225BFA">
        <w:t>микрозаймов</w:t>
      </w:r>
      <w:proofErr w:type="spellEnd"/>
      <w:r w:rsidRPr="00225BFA">
        <w:t xml:space="preserve"> </w:t>
      </w:r>
      <w:r w:rsidR="00117E35" w:rsidRPr="00225BFA">
        <w:t>бизнесу</w:t>
      </w:r>
      <w:r w:rsidRPr="00225BFA">
        <w:t xml:space="preserve"> позитивно отразиться на общем уровне </w:t>
      </w:r>
      <w:proofErr w:type="spellStart"/>
      <w:r w:rsidRPr="00225BFA">
        <w:t>дефолтности</w:t>
      </w:r>
      <w:proofErr w:type="spellEnd"/>
      <w:r w:rsidRPr="00225BFA">
        <w:t xml:space="preserve"> на рынке, однако часть МФО для </w:t>
      </w:r>
      <w:r w:rsidRPr="00225BFA">
        <w:lastRenderedPageBreak/>
        <w:t>обеспечения быстрого роста в условиях растущей конкуренции могут ослабить требования к заемщикам.</w:t>
      </w:r>
    </w:p>
    <w:p w:rsidR="0023234B" w:rsidRPr="00225BFA" w:rsidRDefault="0023234B" w:rsidP="00CA45E3">
      <w:pPr>
        <w:pStyle w:val="a4"/>
        <w:numPr>
          <w:ilvl w:val="0"/>
          <w:numId w:val="9"/>
        </w:numPr>
        <w:jc w:val="both"/>
      </w:pPr>
      <w:r w:rsidRPr="00225BFA">
        <w:t xml:space="preserve">Стандартизация деятельности МФО при выдаче и сопровождении </w:t>
      </w:r>
      <w:proofErr w:type="spellStart"/>
      <w:r w:rsidRPr="00225BFA">
        <w:t>микрозаймов</w:t>
      </w:r>
      <w:proofErr w:type="spellEnd"/>
      <w:r w:rsidRPr="00225BFA">
        <w:t xml:space="preserve"> позволит выработать общие прозрачные критерии работы компаний с заемщиками. Она включают в себя, прежде всего</w:t>
      </w:r>
      <w:r w:rsidRPr="00225BFA">
        <w:rPr>
          <w:lang w:val="en-US"/>
        </w:rPr>
        <w:t>:</w:t>
      </w:r>
    </w:p>
    <w:p w:rsidR="0023234B" w:rsidRPr="00225BFA" w:rsidRDefault="0023234B" w:rsidP="00CA45E3">
      <w:pPr>
        <w:pStyle w:val="a4"/>
        <w:numPr>
          <w:ilvl w:val="0"/>
          <w:numId w:val="14"/>
        </w:numPr>
        <w:ind w:firstLine="556"/>
        <w:jc w:val="both"/>
      </w:pPr>
      <w:r w:rsidRPr="00225BFA">
        <w:t xml:space="preserve">Внедрение стандартов по управлению кредитными рисками  и работе с просроченной задолженности по </w:t>
      </w:r>
      <w:proofErr w:type="spellStart"/>
      <w:r w:rsidRPr="00225BFA">
        <w:t>микрозайма</w:t>
      </w:r>
      <w:r w:rsidR="00117E35" w:rsidRPr="00225BFA">
        <w:t>м</w:t>
      </w:r>
      <w:proofErr w:type="spellEnd"/>
      <w:r w:rsidRPr="00225BFA">
        <w:t>;</w:t>
      </w:r>
    </w:p>
    <w:p w:rsidR="0023234B" w:rsidRPr="00225BFA" w:rsidRDefault="0023234B" w:rsidP="00CA45E3">
      <w:pPr>
        <w:pStyle w:val="a4"/>
        <w:numPr>
          <w:ilvl w:val="0"/>
          <w:numId w:val="14"/>
        </w:numPr>
        <w:ind w:firstLine="556"/>
        <w:jc w:val="both"/>
      </w:pPr>
      <w:r w:rsidRPr="00225BFA">
        <w:t>Внедрение стандартов по управлению операционными рисками.</w:t>
      </w:r>
    </w:p>
    <w:p w:rsidR="0023234B" w:rsidRPr="00225BFA" w:rsidRDefault="0023234B" w:rsidP="00462B9E">
      <w:pPr>
        <w:pStyle w:val="a4"/>
        <w:numPr>
          <w:ilvl w:val="0"/>
          <w:numId w:val="9"/>
        </w:numPr>
        <w:jc w:val="both"/>
      </w:pPr>
      <w:r w:rsidRPr="00225BFA">
        <w:t xml:space="preserve">Все стандарты должны учитывать специфику ключевых сегментов </w:t>
      </w:r>
      <w:proofErr w:type="spellStart"/>
      <w:r w:rsidRPr="00225BFA">
        <w:t>микрофинансового</w:t>
      </w:r>
      <w:proofErr w:type="spellEnd"/>
      <w:r w:rsidRPr="00225BFA">
        <w:t xml:space="preserve"> рынка («займы до зарплаты», потреб</w:t>
      </w:r>
      <w:r w:rsidR="00117E35" w:rsidRPr="00225BFA">
        <w:t xml:space="preserve">ительские </w:t>
      </w:r>
      <w:proofErr w:type="spellStart"/>
      <w:r w:rsidR="00117E35" w:rsidRPr="00225BFA">
        <w:t>микро</w:t>
      </w:r>
      <w:r w:rsidRPr="00225BFA">
        <w:t>займы</w:t>
      </w:r>
      <w:proofErr w:type="spellEnd"/>
      <w:r w:rsidRPr="00225BFA">
        <w:t xml:space="preserve"> </w:t>
      </w:r>
      <w:r w:rsidR="00117E35" w:rsidRPr="00225BFA">
        <w:t>физическим лицам</w:t>
      </w:r>
      <w:r w:rsidRPr="00225BFA">
        <w:t xml:space="preserve">, </w:t>
      </w:r>
      <w:proofErr w:type="spellStart"/>
      <w:r w:rsidRPr="00225BFA">
        <w:t>микрозаймы</w:t>
      </w:r>
      <w:proofErr w:type="spellEnd"/>
      <w:r w:rsidRPr="00225BFA">
        <w:t xml:space="preserve"> бизнесу)</w:t>
      </w:r>
    </w:p>
    <w:p w:rsidR="0023234B" w:rsidRPr="00225BFA" w:rsidRDefault="0023234B" w:rsidP="00462B9E">
      <w:pPr>
        <w:pStyle w:val="a4"/>
        <w:numPr>
          <w:ilvl w:val="0"/>
          <w:numId w:val="9"/>
        </w:numPr>
        <w:jc w:val="both"/>
      </w:pPr>
      <w:r w:rsidRPr="00225BFA">
        <w:t xml:space="preserve">Одно из обязательных условий – ведение компаниями </w:t>
      </w:r>
      <w:proofErr w:type="spellStart"/>
      <w:r w:rsidRPr="00225BFA">
        <w:t>поколенческого</w:t>
      </w:r>
      <w:proofErr w:type="spellEnd"/>
      <w:r w:rsidRPr="00225BFA">
        <w:t xml:space="preserve"> анализа поведения портфеля займов (с дальнейшим предоставлением регулятору)</w:t>
      </w:r>
    </w:p>
    <w:p w:rsidR="0023234B" w:rsidRPr="00225BFA" w:rsidRDefault="0023234B" w:rsidP="00CA45E3">
      <w:pPr>
        <w:pStyle w:val="a4"/>
        <w:numPr>
          <w:ilvl w:val="0"/>
          <w:numId w:val="9"/>
        </w:numPr>
        <w:jc w:val="both"/>
      </w:pPr>
      <w:r w:rsidRPr="00225BFA">
        <w:t xml:space="preserve">Стандарты по управлению операционными рисками должны в первую очередь касаться методов снижения случаев мошенничества (как со стороны заемщиков, так и со стороны сотрудников) при выдаче </w:t>
      </w:r>
      <w:proofErr w:type="spellStart"/>
      <w:r w:rsidRPr="00225BFA">
        <w:t>микрозаймов</w:t>
      </w:r>
      <w:proofErr w:type="spellEnd"/>
      <w:r w:rsidRPr="00225BFA">
        <w:t>.</w:t>
      </w:r>
    </w:p>
    <w:p w:rsidR="0023234B" w:rsidRPr="00225BFA" w:rsidRDefault="0023234B" w:rsidP="003D01E3">
      <w:pPr>
        <w:jc w:val="both"/>
        <w:rPr>
          <w:b/>
        </w:rPr>
      </w:pPr>
    </w:p>
    <w:p w:rsidR="0023234B" w:rsidRPr="00225BFA" w:rsidRDefault="0023234B" w:rsidP="007F1442">
      <w:pPr>
        <w:pStyle w:val="a4"/>
        <w:numPr>
          <w:ilvl w:val="0"/>
          <w:numId w:val="13"/>
        </w:numPr>
        <w:jc w:val="both"/>
        <w:rPr>
          <w:b/>
        </w:rPr>
      </w:pPr>
      <w:r w:rsidRPr="00225BFA">
        <w:rPr>
          <w:b/>
        </w:rPr>
        <w:t xml:space="preserve">Повышение прозрачности МФО </w:t>
      </w:r>
      <w:r w:rsidR="00E87243" w:rsidRPr="00225BFA">
        <w:rPr>
          <w:b/>
        </w:rPr>
        <w:t>позитивно отразиться на</w:t>
      </w:r>
      <w:r w:rsidRPr="00225BFA">
        <w:rPr>
          <w:b/>
        </w:rPr>
        <w:t xml:space="preserve"> спрос</w:t>
      </w:r>
      <w:r w:rsidR="00E87243" w:rsidRPr="00225BFA">
        <w:rPr>
          <w:b/>
        </w:rPr>
        <w:t>е</w:t>
      </w:r>
      <w:r w:rsidRPr="00225BFA">
        <w:rPr>
          <w:b/>
        </w:rPr>
        <w:t xml:space="preserve"> на их услуги и будет способствовать росту доли рыночного фондирования.</w:t>
      </w:r>
    </w:p>
    <w:p w:rsidR="0023234B" w:rsidRPr="00225BFA" w:rsidRDefault="0023234B" w:rsidP="00843FF3">
      <w:pPr>
        <w:pStyle w:val="a4"/>
        <w:ind w:left="180"/>
        <w:jc w:val="both"/>
        <w:rPr>
          <w:b/>
        </w:rPr>
      </w:pPr>
    </w:p>
    <w:p w:rsidR="0023234B" w:rsidRPr="00225BFA" w:rsidRDefault="0023234B" w:rsidP="00B62C75">
      <w:pPr>
        <w:pStyle w:val="a4"/>
        <w:numPr>
          <w:ilvl w:val="0"/>
          <w:numId w:val="9"/>
        </w:numPr>
        <w:jc w:val="both"/>
      </w:pPr>
      <w:r w:rsidRPr="00225BFA">
        <w:t xml:space="preserve">Низкая информационная прозрачность бизнеса большинства </w:t>
      </w:r>
      <w:proofErr w:type="spellStart"/>
      <w:r w:rsidRPr="00225BFA">
        <w:t>микрофинансовых</w:t>
      </w:r>
      <w:proofErr w:type="spellEnd"/>
      <w:r w:rsidRPr="00225BFA">
        <w:t xml:space="preserve"> компаний снижает круг потенциальных инвесторов и клиентов. </w:t>
      </w:r>
    </w:p>
    <w:p w:rsidR="0023234B" w:rsidRPr="00225BFA" w:rsidRDefault="0023234B" w:rsidP="008B0D0B">
      <w:pPr>
        <w:pStyle w:val="a4"/>
        <w:numPr>
          <w:ilvl w:val="0"/>
          <w:numId w:val="9"/>
        </w:numPr>
        <w:jc w:val="both"/>
      </w:pPr>
      <w:r w:rsidRPr="00225BFA">
        <w:t xml:space="preserve">Отсутствие единых стандартов по публикации информации на сайтах МФО (продукты и условия по ним, способы погашения </w:t>
      </w:r>
      <w:proofErr w:type="spellStart"/>
      <w:r w:rsidRPr="00225BFA">
        <w:t>микрозаймов</w:t>
      </w:r>
      <w:proofErr w:type="spellEnd"/>
      <w:r w:rsidRPr="00225BFA">
        <w:t xml:space="preserve">, кодекс корпоративной этики, ежеквартальная отчетность и результаты аудиторских проверок) и сайте регулятора осложняет оценку надежности МФО, которая также нуждается в стандартизации. </w:t>
      </w:r>
    </w:p>
    <w:p w:rsidR="0023234B" w:rsidRPr="00225BFA" w:rsidRDefault="0023234B" w:rsidP="003F477E">
      <w:pPr>
        <w:pStyle w:val="a4"/>
        <w:numPr>
          <w:ilvl w:val="0"/>
          <w:numId w:val="9"/>
        </w:numPr>
        <w:jc w:val="both"/>
      </w:pPr>
      <w:r w:rsidRPr="00225BFA">
        <w:t xml:space="preserve">Большое число </w:t>
      </w:r>
      <w:proofErr w:type="spellStart"/>
      <w:r w:rsidRPr="00225BFA">
        <w:t>микрофинансовых</w:t>
      </w:r>
      <w:proofErr w:type="spellEnd"/>
      <w:r w:rsidRPr="00225BFA">
        <w:t xml:space="preserve"> организаций в реестре и отсутствие единой «платформы» по сбору отчетности осложняет регулирование и надзор за рынком МФО. </w:t>
      </w:r>
    </w:p>
    <w:p w:rsidR="0023234B" w:rsidRPr="00225BFA" w:rsidRDefault="0023234B" w:rsidP="003F477E">
      <w:pPr>
        <w:pStyle w:val="a4"/>
        <w:numPr>
          <w:ilvl w:val="0"/>
          <w:numId w:val="9"/>
        </w:numPr>
        <w:jc w:val="both"/>
      </w:pPr>
      <w:r w:rsidRPr="00225BFA">
        <w:t xml:space="preserve">В 2014 году озвучены планы регулятора по старту процедуры сбора отчетности МФО в электронном виде, что в перспективе значительно расширит представление о рынке </w:t>
      </w:r>
      <w:proofErr w:type="spellStart"/>
      <w:r w:rsidRPr="00225BFA">
        <w:t>микрозаймов</w:t>
      </w:r>
      <w:proofErr w:type="spellEnd"/>
      <w:r w:rsidRPr="00225BFA">
        <w:t xml:space="preserve"> как для инвесторов, так и для потенциальных клиентов.</w:t>
      </w:r>
    </w:p>
    <w:p w:rsidR="0023234B" w:rsidRPr="00225BFA" w:rsidRDefault="0023234B" w:rsidP="006A2D15">
      <w:pPr>
        <w:pStyle w:val="a4"/>
        <w:numPr>
          <w:ilvl w:val="0"/>
          <w:numId w:val="9"/>
        </w:numPr>
        <w:jc w:val="both"/>
      </w:pPr>
      <w:r w:rsidRPr="00225BFA">
        <w:t>Решение данного комплекса задач наиболее эффективным способом возможно на  базе развития института саморегулирования (СРО), что позволит защитить права потребителя и способствовать цивилизованному развитию рынка.  Делегированный надзор через СРО позволит</w:t>
      </w:r>
      <w:r w:rsidR="00117E35" w:rsidRPr="00225BFA">
        <w:t>,</w:t>
      </w:r>
      <w:r w:rsidRPr="00225BFA">
        <w:t xml:space="preserve"> с одной стороны</w:t>
      </w:r>
      <w:r w:rsidR="00117E35" w:rsidRPr="00225BFA">
        <w:t>,</w:t>
      </w:r>
      <w:r w:rsidRPr="00225BFA">
        <w:t xml:space="preserve"> очистить рынок от недобросовестных участников, а с другой – упростить надзор для регулятора и избавить участников от излишних проверок с его стороны.</w:t>
      </w:r>
    </w:p>
    <w:p w:rsidR="0023234B" w:rsidRPr="00225BFA" w:rsidRDefault="0023234B" w:rsidP="006A2D15">
      <w:pPr>
        <w:pStyle w:val="a4"/>
        <w:numPr>
          <w:ilvl w:val="0"/>
          <w:numId w:val="9"/>
        </w:numPr>
        <w:jc w:val="both"/>
      </w:pPr>
      <w:r w:rsidRPr="00225BFA">
        <w:t xml:space="preserve">Повышение прозрачности должно также выражаться в росте числа </w:t>
      </w:r>
      <w:proofErr w:type="spellStart"/>
      <w:r w:rsidRPr="00225BFA">
        <w:t>микрофинансовых</w:t>
      </w:r>
      <w:proofErr w:type="spellEnd"/>
      <w:r w:rsidRPr="00225BFA">
        <w:t xml:space="preserve"> организаций, составляющих отчетность по МСФО, а также использующих услуги аудиторских компаний с хорошей репутацией.</w:t>
      </w:r>
    </w:p>
    <w:p w:rsidR="0023234B" w:rsidRPr="00225BFA" w:rsidRDefault="0023234B" w:rsidP="006A2D15">
      <w:pPr>
        <w:pStyle w:val="a4"/>
        <w:numPr>
          <w:ilvl w:val="0"/>
          <w:numId w:val="9"/>
        </w:numPr>
        <w:jc w:val="both"/>
      </w:pPr>
      <w:r w:rsidRPr="00225BFA">
        <w:t xml:space="preserve">Повышение прозрачности, помимо роста спроса на услуги МФО, упростит доступ участников рынка к фондированию со стороны </w:t>
      </w:r>
      <w:r w:rsidR="00117E35" w:rsidRPr="00225BFA">
        <w:t>бизнеса и физических лиц</w:t>
      </w:r>
      <w:r w:rsidRPr="00225BFA">
        <w:t xml:space="preserve">, </w:t>
      </w:r>
      <w:r w:rsidR="00117E35" w:rsidRPr="00225BFA">
        <w:t xml:space="preserve">а </w:t>
      </w:r>
      <w:r w:rsidRPr="00225BFA">
        <w:t xml:space="preserve">также к «оптовому» фондированию в виде долговых ценных бумаг. Это позитивно отразится на рентабельности бизнеса и доступности </w:t>
      </w:r>
      <w:proofErr w:type="spellStart"/>
      <w:r w:rsidRPr="00225BFA">
        <w:t>микрозаймов</w:t>
      </w:r>
      <w:proofErr w:type="spellEnd"/>
      <w:r w:rsidRPr="00225BFA">
        <w:t>.</w:t>
      </w:r>
    </w:p>
    <w:p w:rsidR="0023234B" w:rsidRPr="00E87243" w:rsidRDefault="0023234B">
      <w:pPr>
        <w:ind w:left="-180" w:firstLine="888"/>
        <w:jc w:val="both"/>
      </w:pPr>
      <w:bookmarkStart w:id="0" w:name="_GoBack"/>
      <w:bookmarkEnd w:id="0"/>
    </w:p>
    <w:sectPr w:rsidR="0023234B" w:rsidRPr="00E87243" w:rsidSect="00617B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39" w:rsidRDefault="00D21E39" w:rsidP="00F63D78">
      <w:r>
        <w:separator/>
      </w:r>
    </w:p>
  </w:endnote>
  <w:endnote w:type="continuationSeparator" w:id="0">
    <w:p w:rsidR="00D21E39" w:rsidRDefault="00D21E39" w:rsidP="00F6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39" w:rsidRDefault="00D21E39" w:rsidP="00F63D78">
      <w:r>
        <w:separator/>
      </w:r>
    </w:p>
  </w:footnote>
  <w:footnote w:type="continuationSeparator" w:id="0">
    <w:p w:rsidR="00D21E39" w:rsidRDefault="00D21E39" w:rsidP="00F6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A01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57EA0"/>
    <w:multiLevelType w:val="hybridMultilevel"/>
    <w:tmpl w:val="32D20C3C"/>
    <w:lvl w:ilvl="0" w:tplc="040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EF451D9"/>
    <w:multiLevelType w:val="hybridMultilevel"/>
    <w:tmpl w:val="8FA2A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1C1561"/>
    <w:multiLevelType w:val="hybridMultilevel"/>
    <w:tmpl w:val="A0B4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10CD9"/>
    <w:multiLevelType w:val="hybridMultilevel"/>
    <w:tmpl w:val="A412B118"/>
    <w:lvl w:ilvl="0" w:tplc="5B9C0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AD4CC2"/>
    <w:multiLevelType w:val="hybridMultilevel"/>
    <w:tmpl w:val="F55A2D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13630B"/>
    <w:multiLevelType w:val="hybridMultilevel"/>
    <w:tmpl w:val="CB365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918"/>
    <w:multiLevelType w:val="hybridMultilevel"/>
    <w:tmpl w:val="94F4F98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41103171"/>
    <w:multiLevelType w:val="hybridMultilevel"/>
    <w:tmpl w:val="D024976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418C4B7F"/>
    <w:multiLevelType w:val="hybridMultilevel"/>
    <w:tmpl w:val="20C22B54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4890B6B"/>
    <w:multiLevelType w:val="hybridMultilevel"/>
    <w:tmpl w:val="38BAC596"/>
    <w:lvl w:ilvl="0" w:tplc="56F686A6">
      <w:start w:val="1"/>
      <w:numFmt w:val="decimal"/>
      <w:lvlText w:val="%1)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1">
    <w:nsid w:val="4648728D"/>
    <w:multiLevelType w:val="hybridMultilevel"/>
    <w:tmpl w:val="A3D484A2"/>
    <w:lvl w:ilvl="0" w:tplc="B986CB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D6DBE"/>
    <w:multiLevelType w:val="hybridMultilevel"/>
    <w:tmpl w:val="E39A51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D46EFE"/>
    <w:multiLevelType w:val="hybridMultilevel"/>
    <w:tmpl w:val="C7A24A76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5F0E35"/>
    <w:multiLevelType w:val="hybridMultilevel"/>
    <w:tmpl w:val="8E5CFBB8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E6162"/>
    <w:multiLevelType w:val="hybridMultilevel"/>
    <w:tmpl w:val="5566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0"/>
  </w:num>
  <w:num w:numId="5">
    <w:abstractNumId w:val="11"/>
  </w:num>
  <w:num w:numId="6">
    <w:abstractNumId w:val="10"/>
  </w:num>
  <w:num w:numId="7">
    <w:abstractNumId w:val="15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38"/>
    <w:rsid w:val="00000A7A"/>
    <w:rsid w:val="00004515"/>
    <w:rsid w:val="000106F5"/>
    <w:rsid w:val="00036F41"/>
    <w:rsid w:val="0004194B"/>
    <w:rsid w:val="00043494"/>
    <w:rsid w:val="00074874"/>
    <w:rsid w:val="0009361F"/>
    <w:rsid w:val="000A09B4"/>
    <w:rsid w:val="000A2697"/>
    <w:rsid w:val="000E5FB4"/>
    <w:rsid w:val="000F2AB2"/>
    <w:rsid w:val="00117E35"/>
    <w:rsid w:val="00125AF3"/>
    <w:rsid w:val="00136CBB"/>
    <w:rsid w:val="00146A8D"/>
    <w:rsid w:val="00167873"/>
    <w:rsid w:val="001750B1"/>
    <w:rsid w:val="00181D3C"/>
    <w:rsid w:val="00184E28"/>
    <w:rsid w:val="0019007A"/>
    <w:rsid w:val="00196403"/>
    <w:rsid w:val="001C1793"/>
    <w:rsid w:val="001C380D"/>
    <w:rsid w:val="001F0302"/>
    <w:rsid w:val="00211CCD"/>
    <w:rsid w:val="00225BFA"/>
    <w:rsid w:val="0023234B"/>
    <w:rsid w:val="00232DAE"/>
    <w:rsid w:val="00242EE0"/>
    <w:rsid w:val="00276B4C"/>
    <w:rsid w:val="00280133"/>
    <w:rsid w:val="00282AB8"/>
    <w:rsid w:val="00290BA8"/>
    <w:rsid w:val="002943D0"/>
    <w:rsid w:val="002C42C9"/>
    <w:rsid w:val="002C5C63"/>
    <w:rsid w:val="002F5D68"/>
    <w:rsid w:val="00315BB1"/>
    <w:rsid w:val="00324EE4"/>
    <w:rsid w:val="00337010"/>
    <w:rsid w:val="003514C9"/>
    <w:rsid w:val="0035192B"/>
    <w:rsid w:val="00353333"/>
    <w:rsid w:val="0035660F"/>
    <w:rsid w:val="00386590"/>
    <w:rsid w:val="00394A07"/>
    <w:rsid w:val="003B0066"/>
    <w:rsid w:val="003B7318"/>
    <w:rsid w:val="003C1A9B"/>
    <w:rsid w:val="003C47F4"/>
    <w:rsid w:val="003D01E3"/>
    <w:rsid w:val="003E5F8D"/>
    <w:rsid w:val="003F3BBF"/>
    <w:rsid w:val="003F477E"/>
    <w:rsid w:val="00413280"/>
    <w:rsid w:val="00462B9E"/>
    <w:rsid w:val="004873DF"/>
    <w:rsid w:val="00490461"/>
    <w:rsid w:val="00491B44"/>
    <w:rsid w:val="00496668"/>
    <w:rsid w:val="004A1A3C"/>
    <w:rsid w:val="004B03A7"/>
    <w:rsid w:val="004B0676"/>
    <w:rsid w:val="004B5FDE"/>
    <w:rsid w:val="004D4A94"/>
    <w:rsid w:val="00516607"/>
    <w:rsid w:val="00532A17"/>
    <w:rsid w:val="00563018"/>
    <w:rsid w:val="00580D51"/>
    <w:rsid w:val="005A5BAE"/>
    <w:rsid w:val="005C6B95"/>
    <w:rsid w:val="005C6BC6"/>
    <w:rsid w:val="005E1DB8"/>
    <w:rsid w:val="00603DCA"/>
    <w:rsid w:val="00617BA7"/>
    <w:rsid w:val="00644597"/>
    <w:rsid w:val="00656B77"/>
    <w:rsid w:val="0067490C"/>
    <w:rsid w:val="00675AE6"/>
    <w:rsid w:val="0067610A"/>
    <w:rsid w:val="006870D1"/>
    <w:rsid w:val="006970FF"/>
    <w:rsid w:val="006A2D15"/>
    <w:rsid w:val="006B5CC3"/>
    <w:rsid w:val="006C06DD"/>
    <w:rsid w:val="006C1E1F"/>
    <w:rsid w:val="006D7740"/>
    <w:rsid w:val="006E13FE"/>
    <w:rsid w:val="006F0A9F"/>
    <w:rsid w:val="006F1CFA"/>
    <w:rsid w:val="006F7B2B"/>
    <w:rsid w:val="007042BA"/>
    <w:rsid w:val="00704F6C"/>
    <w:rsid w:val="00705BA3"/>
    <w:rsid w:val="007141E5"/>
    <w:rsid w:val="0075162F"/>
    <w:rsid w:val="007753FB"/>
    <w:rsid w:val="007835A2"/>
    <w:rsid w:val="00795AA0"/>
    <w:rsid w:val="007C19F0"/>
    <w:rsid w:val="007D13C3"/>
    <w:rsid w:val="007F0858"/>
    <w:rsid w:val="007F1442"/>
    <w:rsid w:val="007F3E53"/>
    <w:rsid w:val="008020F3"/>
    <w:rsid w:val="008027F4"/>
    <w:rsid w:val="00840286"/>
    <w:rsid w:val="00843FF3"/>
    <w:rsid w:val="008544D5"/>
    <w:rsid w:val="00884723"/>
    <w:rsid w:val="00896AD6"/>
    <w:rsid w:val="008B0D0B"/>
    <w:rsid w:val="008B102D"/>
    <w:rsid w:val="008B6323"/>
    <w:rsid w:val="008C48DE"/>
    <w:rsid w:val="008D4C75"/>
    <w:rsid w:val="008D510F"/>
    <w:rsid w:val="008D5CBF"/>
    <w:rsid w:val="008E086B"/>
    <w:rsid w:val="008E1226"/>
    <w:rsid w:val="00905DF2"/>
    <w:rsid w:val="009150C1"/>
    <w:rsid w:val="00921F59"/>
    <w:rsid w:val="00922D50"/>
    <w:rsid w:val="009310C1"/>
    <w:rsid w:val="0093373B"/>
    <w:rsid w:val="00951A29"/>
    <w:rsid w:val="00956409"/>
    <w:rsid w:val="00967AC3"/>
    <w:rsid w:val="009760D0"/>
    <w:rsid w:val="009762A8"/>
    <w:rsid w:val="0099329F"/>
    <w:rsid w:val="009B3186"/>
    <w:rsid w:val="009C3C93"/>
    <w:rsid w:val="009D39C9"/>
    <w:rsid w:val="009D7120"/>
    <w:rsid w:val="00A24CC1"/>
    <w:rsid w:val="00A35B5E"/>
    <w:rsid w:val="00A54EF1"/>
    <w:rsid w:val="00A61A24"/>
    <w:rsid w:val="00A61AA1"/>
    <w:rsid w:val="00A64D5A"/>
    <w:rsid w:val="00A75304"/>
    <w:rsid w:val="00A76973"/>
    <w:rsid w:val="00AA4B93"/>
    <w:rsid w:val="00AB73CD"/>
    <w:rsid w:val="00AD5C7E"/>
    <w:rsid w:val="00AD5E87"/>
    <w:rsid w:val="00AE489C"/>
    <w:rsid w:val="00AF379E"/>
    <w:rsid w:val="00B04C38"/>
    <w:rsid w:val="00B07833"/>
    <w:rsid w:val="00B24343"/>
    <w:rsid w:val="00B25DE2"/>
    <w:rsid w:val="00B313CA"/>
    <w:rsid w:val="00B31D58"/>
    <w:rsid w:val="00B60EC3"/>
    <w:rsid w:val="00B62C75"/>
    <w:rsid w:val="00B72C91"/>
    <w:rsid w:val="00B83483"/>
    <w:rsid w:val="00B83AC5"/>
    <w:rsid w:val="00B83DCC"/>
    <w:rsid w:val="00B86D35"/>
    <w:rsid w:val="00BB603F"/>
    <w:rsid w:val="00BC5CDD"/>
    <w:rsid w:val="00BF259C"/>
    <w:rsid w:val="00BF6F1B"/>
    <w:rsid w:val="00C26A04"/>
    <w:rsid w:val="00C317FB"/>
    <w:rsid w:val="00C47BC1"/>
    <w:rsid w:val="00C63C75"/>
    <w:rsid w:val="00C862D0"/>
    <w:rsid w:val="00C87030"/>
    <w:rsid w:val="00C9109B"/>
    <w:rsid w:val="00CA45E3"/>
    <w:rsid w:val="00CA73D6"/>
    <w:rsid w:val="00CB5F57"/>
    <w:rsid w:val="00CC2EBF"/>
    <w:rsid w:val="00CC690B"/>
    <w:rsid w:val="00CE6078"/>
    <w:rsid w:val="00D21E39"/>
    <w:rsid w:val="00D27818"/>
    <w:rsid w:val="00D350C0"/>
    <w:rsid w:val="00D43E2C"/>
    <w:rsid w:val="00D6026E"/>
    <w:rsid w:val="00D61211"/>
    <w:rsid w:val="00D72E82"/>
    <w:rsid w:val="00D74F5D"/>
    <w:rsid w:val="00DB5BCB"/>
    <w:rsid w:val="00DB6C22"/>
    <w:rsid w:val="00DC3E52"/>
    <w:rsid w:val="00DD0C86"/>
    <w:rsid w:val="00DE677C"/>
    <w:rsid w:val="00E04335"/>
    <w:rsid w:val="00E10FCE"/>
    <w:rsid w:val="00E20920"/>
    <w:rsid w:val="00E32ED2"/>
    <w:rsid w:val="00E46E95"/>
    <w:rsid w:val="00E71E5E"/>
    <w:rsid w:val="00E831FD"/>
    <w:rsid w:val="00E87243"/>
    <w:rsid w:val="00EA0476"/>
    <w:rsid w:val="00EA12CC"/>
    <w:rsid w:val="00ED1A08"/>
    <w:rsid w:val="00EE7E94"/>
    <w:rsid w:val="00F264A2"/>
    <w:rsid w:val="00F45C11"/>
    <w:rsid w:val="00F56A63"/>
    <w:rsid w:val="00F6253A"/>
    <w:rsid w:val="00F63777"/>
    <w:rsid w:val="00F63D78"/>
    <w:rsid w:val="00F72C65"/>
    <w:rsid w:val="00F74311"/>
    <w:rsid w:val="00F80C09"/>
    <w:rsid w:val="00F86544"/>
    <w:rsid w:val="00F86796"/>
    <w:rsid w:val="00F87BE8"/>
    <w:rsid w:val="00F91082"/>
    <w:rsid w:val="00FA01A7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Calibri" w:hAnsi="Times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253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25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6253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967AC3"/>
    <w:pPr>
      <w:ind w:left="720"/>
      <w:contextualSpacing/>
    </w:pPr>
  </w:style>
  <w:style w:type="paragraph" w:styleId="a">
    <w:name w:val="List Bullet"/>
    <w:basedOn w:val="a0"/>
    <w:uiPriority w:val="99"/>
    <w:rsid w:val="00967AC3"/>
    <w:pPr>
      <w:numPr>
        <w:numId w:val="3"/>
      </w:numPr>
      <w:tabs>
        <w:tab w:val="num" w:pos="360"/>
      </w:tabs>
      <w:ind w:left="360"/>
      <w:contextualSpacing/>
    </w:pPr>
  </w:style>
  <w:style w:type="paragraph" w:styleId="a5">
    <w:name w:val="header"/>
    <w:basedOn w:val="a0"/>
    <w:link w:val="a6"/>
    <w:uiPriority w:val="99"/>
    <w:rsid w:val="00F63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F63D78"/>
    <w:rPr>
      <w:rFonts w:cs="Times New Roman"/>
    </w:rPr>
  </w:style>
  <w:style w:type="paragraph" w:styleId="a7">
    <w:name w:val="footer"/>
    <w:basedOn w:val="a0"/>
    <w:link w:val="a8"/>
    <w:uiPriority w:val="99"/>
    <w:rsid w:val="00F63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F63D78"/>
    <w:rPr>
      <w:rFonts w:cs="Times New Roman"/>
    </w:rPr>
  </w:style>
  <w:style w:type="paragraph" w:customStyle="1" w:styleId="RAEXdefault">
    <w:name w:val="RAEX default"/>
    <w:basedOn w:val="a0"/>
    <w:next w:val="a0"/>
    <w:link w:val="RAEXdefault0"/>
    <w:uiPriority w:val="99"/>
    <w:rsid w:val="00617BA7"/>
    <w:pPr>
      <w:contextualSpacing/>
      <w:jc w:val="both"/>
    </w:pPr>
    <w:rPr>
      <w:lang w:val="en-US"/>
    </w:rPr>
  </w:style>
  <w:style w:type="character" w:customStyle="1" w:styleId="RAEXdefault0">
    <w:name w:val="RAEX default Знак"/>
    <w:basedOn w:val="a1"/>
    <w:link w:val="RAEXdefault"/>
    <w:uiPriority w:val="99"/>
    <w:locked/>
    <w:rsid w:val="00617BA7"/>
    <w:rPr>
      <w:rFonts w:ascii="Times New Roman" w:hAnsi="Times New Roman" w:cs="Times New Roman"/>
      <w:lang w:val="en-US"/>
    </w:rPr>
  </w:style>
  <w:style w:type="paragraph" w:customStyle="1" w:styleId="11">
    <w:name w:val="Знак1"/>
    <w:basedOn w:val="a0"/>
    <w:uiPriority w:val="99"/>
    <w:rsid w:val="00F625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A769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A76973"/>
    <w:rPr>
      <w:rFonts w:ascii="Tahoma" w:hAnsi="Tahoma" w:cs="Tahoma"/>
      <w:sz w:val="16"/>
      <w:szCs w:val="16"/>
      <w:lang w:eastAsia="ru-RU"/>
    </w:rPr>
  </w:style>
  <w:style w:type="character" w:styleId="ab">
    <w:name w:val="Strong"/>
    <w:basedOn w:val="a1"/>
    <w:uiPriority w:val="22"/>
    <w:qFormat/>
    <w:rsid w:val="00A76973"/>
    <w:rPr>
      <w:rFonts w:cs="Times New Roman"/>
      <w:b/>
    </w:rPr>
  </w:style>
  <w:style w:type="paragraph" w:styleId="ac">
    <w:name w:val="Plain Text"/>
    <w:basedOn w:val="a0"/>
    <w:link w:val="ad"/>
    <w:uiPriority w:val="99"/>
    <w:semiHidden/>
    <w:rsid w:val="00F8654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d">
    <w:name w:val="Текст Знак"/>
    <w:basedOn w:val="a1"/>
    <w:link w:val="ac"/>
    <w:uiPriority w:val="99"/>
    <w:semiHidden/>
    <w:locked/>
    <w:rsid w:val="00F86544"/>
    <w:rPr>
      <w:rFonts w:ascii="Calibri" w:hAnsi="Calibri" w:cs="Consolas"/>
      <w:sz w:val="21"/>
      <w:szCs w:val="21"/>
    </w:rPr>
  </w:style>
  <w:style w:type="character" w:styleId="ae">
    <w:name w:val="annotation reference"/>
    <w:basedOn w:val="a1"/>
    <w:uiPriority w:val="99"/>
    <w:semiHidden/>
    <w:rsid w:val="0093373B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semiHidden/>
    <w:rsid w:val="0093373B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locked/>
    <w:rsid w:val="0093373B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93373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93373B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Calibri" w:hAnsi="Times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253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25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6253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967AC3"/>
    <w:pPr>
      <w:ind w:left="720"/>
      <w:contextualSpacing/>
    </w:pPr>
  </w:style>
  <w:style w:type="paragraph" w:styleId="a">
    <w:name w:val="List Bullet"/>
    <w:basedOn w:val="a0"/>
    <w:uiPriority w:val="99"/>
    <w:rsid w:val="00967AC3"/>
    <w:pPr>
      <w:numPr>
        <w:numId w:val="3"/>
      </w:numPr>
      <w:tabs>
        <w:tab w:val="num" w:pos="360"/>
      </w:tabs>
      <w:ind w:left="360"/>
      <w:contextualSpacing/>
    </w:pPr>
  </w:style>
  <w:style w:type="paragraph" w:styleId="a5">
    <w:name w:val="header"/>
    <w:basedOn w:val="a0"/>
    <w:link w:val="a6"/>
    <w:uiPriority w:val="99"/>
    <w:rsid w:val="00F63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F63D78"/>
    <w:rPr>
      <w:rFonts w:cs="Times New Roman"/>
    </w:rPr>
  </w:style>
  <w:style w:type="paragraph" w:styleId="a7">
    <w:name w:val="footer"/>
    <w:basedOn w:val="a0"/>
    <w:link w:val="a8"/>
    <w:uiPriority w:val="99"/>
    <w:rsid w:val="00F63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F63D78"/>
    <w:rPr>
      <w:rFonts w:cs="Times New Roman"/>
    </w:rPr>
  </w:style>
  <w:style w:type="paragraph" w:customStyle="1" w:styleId="RAEXdefault">
    <w:name w:val="RAEX default"/>
    <w:basedOn w:val="a0"/>
    <w:next w:val="a0"/>
    <w:link w:val="RAEXdefault0"/>
    <w:uiPriority w:val="99"/>
    <w:rsid w:val="00617BA7"/>
    <w:pPr>
      <w:contextualSpacing/>
      <w:jc w:val="both"/>
    </w:pPr>
    <w:rPr>
      <w:lang w:val="en-US"/>
    </w:rPr>
  </w:style>
  <w:style w:type="character" w:customStyle="1" w:styleId="RAEXdefault0">
    <w:name w:val="RAEX default Знак"/>
    <w:basedOn w:val="a1"/>
    <w:link w:val="RAEXdefault"/>
    <w:uiPriority w:val="99"/>
    <w:locked/>
    <w:rsid w:val="00617BA7"/>
    <w:rPr>
      <w:rFonts w:ascii="Times New Roman" w:hAnsi="Times New Roman" w:cs="Times New Roman"/>
      <w:lang w:val="en-US"/>
    </w:rPr>
  </w:style>
  <w:style w:type="paragraph" w:customStyle="1" w:styleId="11">
    <w:name w:val="Знак1"/>
    <w:basedOn w:val="a0"/>
    <w:uiPriority w:val="99"/>
    <w:rsid w:val="00F625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A769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A76973"/>
    <w:rPr>
      <w:rFonts w:ascii="Tahoma" w:hAnsi="Tahoma" w:cs="Tahoma"/>
      <w:sz w:val="16"/>
      <w:szCs w:val="16"/>
      <w:lang w:eastAsia="ru-RU"/>
    </w:rPr>
  </w:style>
  <w:style w:type="character" w:styleId="ab">
    <w:name w:val="Strong"/>
    <w:basedOn w:val="a1"/>
    <w:uiPriority w:val="22"/>
    <w:qFormat/>
    <w:rsid w:val="00A76973"/>
    <w:rPr>
      <w:rFonts w:cs="Times New Roman"/>
      <w:b/>
    </w:rPr>
  </w:style>
  <w:style w:type="paragraph" w:styleId="ac">
    <w:name w:val="Plain Text"/>
    <w:basedOn w:val="a0"/>
    <w:link w:val="ad"/>
    <w:uiPriority w:val="99"/>
    <w:semiHidden/>
    <w:rsid w:val="00F8654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d">
    <w:name w:val="Текст Знак"/>
    <w:basedOn w:val="a1"/>
    <w:link w:val="ac"/>
    <w:uiPriority w:val="99"/>
    <w:semiHidden/>
    <w:locked/>
    <w:rsid w:val="00F86544"/>
    <w:rPr>
      <w:rFonts w:ascii="Calibri" w:hAnsi="Calibri" w:cs="Consolas"/>
      <w:sz w:val="21"/>
      <w:szCs w:val="21"/>
    </w:rPr>
  </w:style>
  <w:style w:type="character" w:styleId="ae">
    <w:name w:val="annotation reference"/>
    <w:basedOn w:val="a1"/>
    <w:uiPriority w:val="99"/>
    <w:semiHidden/>
    <w:rsid w:val="0093373B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semiHidden/>
    <w:rsid w:val="0093373B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locked/>
    <w:rsid w:val="0093373B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93373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93373B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Expert RA</Company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Игорь</dc:creator>
  <cp:lastModifiedBy>Самиев Павел</cp:lastModifiedBy>
  <cp:revision>2</cp:revision>
  <cp:lastPrinted>2014-08-04T14:03:00Z</cp:lastPrinted>
  <dcterms:created xsi:type="dcterms:W3CDTF">2014-08-26T09:09:00Z</dcterms:created>
  <dcterms:modified xsi:type="dcterms:W3CDTF">2014-08-26T09:09:00Z</dcterms:modified>
</cp:coreProperties>
</file>