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E1674" w14:textId="77777777" w:rsidR="00420951" w:rsidRPr="008D6336" w:rsidRDefault="00071584" w:rsidP="000B4217">
      <w:pPr>
        <w:jc w:val="center"/>
        <w:rPr>
          <w:sz w:val="56"/>
          <w:szCs w:val="56"/>
        </w:rPr>
      </w:pPr>
      <w:r w:rsidRPr="008D6336">
        <w:rPr>
          <w:sz w:val="56"/>
          <w:szCs w:val="56"/>
        </w:rPr>
        <w:t xml:space="preserve">Проблемы </w:t>
      </w:r>
      <w:r w:rsidRPr="008D6336">
        <w:rPr>
          <w:sz w:val="56"/>
          <w:szCs w:val="56"/>
          <w:lang w:val="en-US"/>
        </w:rPr>
        <w:t>NPL</w:t>
      </w:r>
      <w:r w:rsidR="00420951" w:rsidRPr="008D6336">
        <w:rPr>
          <w:sz w:val="56"/>
          <w:szCs w:val="56"/>
        </w:rPr>
        <w:t xml:space="preserve">, подход </w:t>
      </w:r>
      <w:r w:rsidR="0022261A" w:rsidRPr="008D6336">
        <w:rPr>
          <w:sz w:val="56"/>
          <w:szCs w:val="56"/>
        </w:rPr>
        <w:t>Черногории</w:t>
      </w:r>
      <w:r w:rsidR="00420951" w:rsidRPr="008D6336">
        <w:rPr>
          <w:sz w:val="56"/>
          <w:szCs w:val="56"/>
        </w:rPr>
        <w:t xml:space="preserve"> к их решению,</w:t>
      </w:r>
    </w:p>
    <w:p w14:paraId="67ABD466" w14:textId="2C005255" w:rsidR="00942416" w:rsidRPr="008D6336" w:rsidRDefault="00AE0884" w:rsidP="000B4217">
      <w:pPr>
        <w:jc w:val="center"/>
        <w:rPr>
          <w:sz w:val="56"/>
          <w:szCs w:val="56"/>
        </w:rPr>
      </w:pPr>
      <w:r w:rsidRPr="008D6336">
        <w:rPr>
          <w:sz w:val="56"/>
          <w:szCs w:val="56"/>
          <w:lang w:val="en-US"/>
        </w:rPr>
        <w:t>NPL</w:t>
      </w:r>
      <w:r w:rsidR="00A13B79" w:rsidRPr="008D6336">
        <w:rPr>
          <w:sz w:val="56"/>
          <w:szCs w:val="56"/>
        </w:rPr>
        <w:t xml:space="preserve"> в Европ</w:t>
      </w:r>
      <w:r w:rsidR="00B67F2C" w:rsidRPr="008D6336">
        <w:rPr>
          <w:sz w:val="56"/>
          <w:szCs w:val="56"/>
        </w:rPr>
        <w:t>е и</w:t>
      </w:r>
      <w:r w:rsidR="003C633D" w:rsidRPr="008D6336">
        <w:rPr>
          <w:sz w:val="56"/>
          <w:szCs w:val="56"/>
        </w:rPr>
        <w:t xml:space="preserve"> позиция Европейской к</w:t>
      </w:r>
      <w:r w:rsidR="00B67F2C" w:rsidRPr="008D6336">
        <w:rPr>
          <w:sz w:val="56"/>
          <w:szCs w:val="56"/>
        </w:rPr>
        <w:t>омиссии</w:t>
      </w:r>
    </w:p>
    <w:p w14:paraId="46003AAD" w14:textId="77777777" w:rsidR="00BA0766" w:rsidRPr="008D6336" w:rsidRDefault="00BA0766" w:rsidP="000B4217">
      <w:pPr>
        <w:jc w:val="center"/>
        <w:rPr>
          <w:sz w:val="56"/>
          <w:szCs w:val="56"/>
        </w:rPr>
      </w:pPr>
    </w:p>
    <w:p w14:paraId="11D7CEB9" w14:textId="77777777" w:rsidR="00BA0766" w:rsidRPr="008D6336" w:rsidRDefault="00BA0766" w:rsidP="000B4217">
      <w:pPr>
        <w:jc w:val="center"/>
      </w:pPr>
    </w:p>
    <w:p w14:paraId="1F225AD0" w14:textId="77777777" w:rsidR="00BA0766" w:rsidRPr="008D6336" w:rsidRDefault="00BA0766" w:rsidP="000B4217">
      <w:pPr>
        <w:jc w:val="center"/>
      </w:pPr>
    </w:p>
    <w:p w14:paraId="04029B9B" w14:textId="77777777" w:rsidR="00BA0766" w:rsidRPr="008D6336" w:rsidRDefault="00BA0766" w:rsidP="000B4217">
      <w:pPr>
        <w:jc w:val="center"/>
      </w:pPr>
    </w:p>
    <w:p w14:paraId="73184C11" w14:textId="77777777" w:rsidR="00BA0766" w:rsidRPr="008D6336" w:rsidRDefault="00BA0766" w:rsidP="000B4217">
      <w:pPr>
        <w:jc w:val="center"/>
      </w:pPr>
    </w:p>
    <w:p w14:paraId="062B2250" w14:textId="1D6AD32E" w:rsidR="00BA0766" w:rsidRPr="008D6336" w:rsidRDefault="00E44831" w:rsidP="000B4217">
      <w:pPr>
        <w:jc w:val="center"/>
        <w:rPr>
          <w:sz w:val="40"/>
          <w:szCs w:val="40"/>
        </w:rPr>
      </w:pPr>
      <w:r w:rsidRPr="008D6336">
        <w:rPr>
          <w:sz w:val="40"/>
          <w:szCs w:val="40"/>
        </w:rPr>
        <w:t>Весеннее заседание МБС</w:t>
      </w:r>
    </w:p>
    <w:p w14:paraId="3FD00D89" w14:textId="3E435C48" w:rsidR="00BA0766" w:rsidRPr="008D6336" w:rsidRDefault="00E44831" w:rsidP="000B4217">
      <w:pPr>
        <w:jc w:val="center"/>
        <w:rPr>
          <w:sz w:val="40"/>
          <w:szCs w:val="40"/>
        </w:rPr>
      </w:pPr>
      <w:r w:rsidRPr="008D6336">
        <w:rPr>
          <w:sz w:val="40"/>
          <w:szCs w:val="40"/>
        </w:rPr>
        <w:t>Черногория</w:t>
      </w:r>
    </w:p>
    <w:p w14:paraId="2BA41CA2" w14:textId="2C608280" w:rsidR="00BA0766" w:rsidRPr="008D6336" w:rsidRDefault="00E44831" w:rsidP="000B4217">
      <w:pPr>
        <w:jc w:val="center"/>
        <w:rPr>
          <w:sz w:val="40"/>
          <w:szCs w:val="40"/>
        </w:rPr>
      </w:pPr>
      <w:r w:rsidRPr="008D6336">
        <w:rPr>
          <w:sz w:val="40"/>
          <w:szCs w:val="40"/>
        </w:rPr>
        <w:t>отель «</w:t>
      </w:r>
      <w:proofErr w:type="spellStart"/>
      <w:r w:rsidR="00715B3D" w:rsidRPr="008D6336">
        <w:rPr>
          <w:sz w:val="40"/>
          <w:szCs w:val="40"/>
        </w:rPr>
        <w:t>Сплендид</w:t>
      </w:r>
      <w:proofErr w:type="spellEnd"/>
      <w:r w:rsidRPr="008D6336">
        <w:rPr>
          <w:sz w:val="40"/>
          <w:szCs w:val="40"/>
        </w:rPr>
        <w:t>»</w:t>
      </w:r>
      <w:r w:rsidR="00BA0766" w:rsidRPr="008D6336">
        <w:rPr>
          <w:sz w:val="40"/>
          <w:szCs w:val="40"/>
        </w:rPr>
        <w:t xml:space="preserve"> 16-18 мая 2018</w:t>
      </w:r>
    </w:p>
    <w:p w14:paraId="51EB40DA" w14:textId="236359D4" w:rsidR="00F257D5" w:rsidRPr="008D6336" w:rsidRDefault="00F257D5">
      <w:pPr>
        <w:rPr>
          <w:sz w:val="40"/>
          <w:szCs w:val="40"/>
        </w:rPr>
      </w:pPr>
    </w:p>
    <w:p w14:paraId="4923C868" w14:textId="77777777" w:rsidR="00F257D5" w:rsidRPr="00715B3D" w:rsidRDefault="00F257D5">
      <w:pPr>
        <w:rPr>
          <w:sz w:val="40"/>
          <w:szCs w:val="40"/>
        </w:rPr>
      </w:pPr>
      <w:r w:rsidRPr="00715B3D">
        <w:rPr>
          <w:sz w:val="40"/>
          <w:szCs w:val="40"/>
        </w:rPr>
        <w:br w:type="page"/>
      </w:r>
    </w:p>
    <w:p w14:paraId="7CCC161E" w14:textId="6B90ECE2" w:rsidR="000B4217" w:rsidRPr="008D6336" w:rsidRDefault="00053771" w:rsidP="00715B3D">
      <w:pPr>
        <w:jc w:val="center"/>
        <w:rPr>
          <w:sz w:val="40"/>
          <w:szCs w:val="40"/>
        </w:rPr>
      </w:pPr>
      <w:r w:rsidRPr="008D6336">
        <w:rPr>
          <w:sz w:val="40"/>
          <w:szCs w:val="40"/>
        </w:rPr>
        <w:lastRenderedPageBreak/>
        <w:t>Проблема невозвратных</w:t>
      </w:r>
      <w:r w:rsidR="009420EC" w:rsidRPr="008D6336">
        <w:rPr>
          <w:sz w:val="40"/>
          <w:szCs w:val="40"/>
        </w:rPr>
        <w:t xml:space="preserve"> кредит</w:t>
      </w:r>
      <w:r w:rsidRPr="008D6336">
        <w:rPr>
          <w:sz w:val="40"/>
          <w:szCs w:val="40"/>
        </w:rPr>
        <w:t>ов в Черногории</w:t>
      </w:r>
    </w:p>
    <w:p w14:paraId="3C798305" w14:textId="77777777" w:rsidR="008B7291" w:rsidRPr="008D6336" w:rsidRDefault="008B7291" w:rsidP="00715B3D">
      <w:pPr>
        <w:jc w:val="center"/>
        <w:rPr>
          <w:sz w:val="40"/>
          <w:szCs w:val="40"/>
        </w:rPr>
      </w:pPr>
    </w:p>
    <w:p w14:paraId="7636ACD5" w14:textId="75DCD628" w:rsidR="00053771" w:rsidRPr="008D6336" w:rsidRDefault="009D69EC" w:rsidP="009D69EC">
      <w:pPr>
        <w:pStyle w:val="a3"/>
        <w:numPr>
          <w:ilvl w:val="0"/>
          <w:numId w:val="1"/>
        </w:numPr>
        <w:jc w:val="both"/>
        <w:rPr>
          <w:sz w:val="40"/>
          <w:szCs w:val="40"/>
        </w:rPr>
      </w:pPr>
      <w:r w:rsidRPr="008D6336">
        <w:rPr>
          <w:sz w:val="40"/>
          <w:szCs w:val="40"/>
        </w:rPr>
        <w:t xml:space="preserve">В 2011 году проблемные кредиты в Черногории на системном уровне составили 26%, что стало максимальным зарегистрированным значением уровня просроченных кредитов, тогда как в 2018 году </w:t>
      </w:r>
      <w:r w:rsidRPr="008D6336">
        <w:rPr>
          <w:sz w:val="40"/>
          <w:szCs w:val="40"/>
          <w:lang w:val="en-US"/>
        </w:rPr>
        <w:t>NPL</w:t>
      </w:r>
      <w:r w:rsidRPr="008D6336">
        <w:rPr>
          <w:sz w:val="40"/>
          <w:szCs w:val="40"/>
        </w:rPr>
        <w:t xml:space="preserve"> сократились до 7%, что приблизилось к докризисному значению, с тенденцией к дальнейшему снижению.</w:t>
      </w:r>
    </w:p>
    <w:p w14:paraId="0C7439F9" w14:textId="389CD97B" w:rsidR="009409C6" w:rsidRPr="008D6336" w:rsidRDefault="000B5AE3" w:rsidP="009409C6">
      <w:pPr>
        <w:pStyle w:val="a3"/>
        <w:numPr>
          <w:ilvl w:val="0"/>
          <w:numId w:val="1"/>
        </w:numPr>
        <w:jc w:val="both"/>
        <w:rPr>
          <w:sz w:val="40"/>
          <w:szCs w:val="40"/>
        </w:rPr>
      </w:pPr>
      <w:r w:rsidRPr="008D6336">
        <w:rPr>
          <w:sz w:val="40"/>
          <w:szCs w:val="40"/>
        </w:rPr>
        <w:t>Важную роль сыграли меры, предпринятые Регулятором,</w:t>
      </w:r>
      <w:r w:rsidR="007E6867" w:rsidRPr="008D6336">
        <w:rPr>
          <w:sz w:val="40"/>
          <w:szCs w:val="40"/>
        </w:rPr>
        <w:t xml:space="preserve"> </w:t>
      </w:r>
      <w:r w:rsidRPr="008D6336">
        <w:rPr>
          <w:sz w:val="40"/>
          <w:szCs w:val="40"/>
        </w:rPr>
        <w:t>то есть Центральным</w:t>
      </w:r>
      <w:r w:rsidR="006B4B80" w:rsidRPr="008D6336">
        <w:rPr>
          <w:sz w:val="40"/>
          <w:szCs w:val="40"/>
        </w:rPr>
        <w:t xml:space="preserve"> Банк</w:t>
      </w:r>
      <w:r w:rsidRPr="008D6336">
        <w:rPr>
          <w:sz w:val="40"/>
          <w:szCs w:val="40"/>
        </w:rPr>
        <w:t>ом</w:t>
      </w:r>
      <w:r w:rsidR="006B4B80" w:rsidRPr="008D6336">
        <w:rPr>
          <w:sz w:val="40"/>
          <w:szCs w:val="40"/>
        </w:rPr>
        <w:t xml:space="preserve"> Черногории (CBCG), </w:t>
      </w:r>
      <w:r w:rsidR="009409C6" w:rsidRPr="008D6336">
        <w:rPr>
          <w:sz w:val="40"/>
          <w:szCs w:val="40"/>
        </w:rPr>
        <w:t>включая модель</w:t>
      </w:r>
      <w:r w:rsidR="006B4B80" w:rsidRPr="008D6336">
        <w:rPr>
          <w:sz w:val="40"/>
          <w:szCs w:val="40"/>
        </w:rPr>
        <w:t xml:space="preserve"> </w:t>
      </w:r>
      <w:proofErr w:type="spellStart"/>
      <w:r w:rsidR="006B4B80" w:rsidRPr="008D6336">
        <w:rPr>
          <w:sz w:val="40"/>
          <w:szCs w:val="40"/>
        </w:rPr>
        <w:t>Подгори</w:t>
      </w:r>
      <w:r w:rsidR="009409C6" w:rsidRPr="008D6336">
        <w:rPr>
          <w:sz w:val="40"/>
          <w:szCs w:val="40"/>
        </w:rPr>
        <w:t>цы</w:t>
      </w:r>
      <w:proofErr w:type="spellEnd"/>
      <w:r w:rsidR="009409C6" w:rsidRPr="008D6336">
        <w:rPr>
          <w:sz w:val="40"/>
          <w:szCs w:val="40"/>
        </w:rPr>
        <w:t xml:space="preserve"> и Закон</w:t>
      </w:r>
      <w:r w:rsidR="006B4B80" w:rsidRPr="008D6336">
        <w:rPr>
          <w:sz w:val="40"/>
          <w:szCs w:val="40"/>
        </w:rPr>
        <w:t xml:space="preserve"> о добровольной</w:t>
      </w:r>
      <w:r w:rsidR="008B7291" w:rsidRPr="008D6336">
        <w:rPr>
          <w:sz w:val="40"/>
          <w:szCs w:val="40"/>
        </w:rPr>
        <w:t xml:space="preserve"> фи</w:t>
      </w:r>
      <w:r w:rsidR="009409C6" w:rsidRPr="008D6336">
        <w:rPr>
          <w:sz w:val="40"/>
          <w:szCs w:val="40"/>
        </w:rPr>
        <w:t xml:space="preserve">нансовой реструктуризации, а также коммерческие банки посредством соглашений, заключенных с должниками, передачи просроченных кредитов в SPV и продажи портфелей </w:t>
      </w:r>
      <w:r w:rsidR="009409C6" w:rsidRPr="008D6336">
        <w:rPr>
          <w:sz w:val="40"/>
          <w:szCs w:val="40"/>
          <w:lang w:val="en-US"/>
        </w:rPr>
        <w:t>NPL</w:t>
      </w:r>
      <w:r w:rsidR="009409C6" w:rsidRPr="008D6336">
        <w:rPr>
          <w:sz w:val="40"/>
          <w:szCs w:val="40"/>
        </w:rPr>
        <w:t>.</w:t>
      </w:r>
    </w:p>
    <w:p w14:paraId="1353FD7C" w14:textId="25BAC38A" w:rsidR="00CF31F7" w:rsidRPr="002771C7" w:rsidRDefault="002771C7" w:rsidP="002771C7">
      <w:pPr>
        <w:pStyle w:val="a3"/>
        <w:numPr>
          <w:ilvl w:val="0"/>
          <w:numId w:val="1"/>
        </w:numPr>
        <w:jc w:val="both"/>
        <w:rPr>
          <w:sz w:val="40"/>
          <w:szCs w:val="40"/>
        </w:rPr>
      </w:pPr>
      <w:r w:rsidRPr="008D6336">
        <w:rPr>
          <w:sz w:val="40"/>
          <w:szCs w:val="40"/>
        </w:rPr>
        <w:t>Суть этой модели состоит в стимулировании реструктуризации кредитов, предоставленных компаниям, неликвидными в настоящее время, но имеющими рыночную перспективу. Успешность данной модели заключается в том, чтобы снизить нагрузку как на банки (более лояльная классификация реструктурированных кредитов), так и на самих клиентов (продление сроков выплаты, возможность частичного списания кредитных обязательств, снижение процентов, реструктуризация налогового долга и др.)</w:t>
      </w:r>
      <w:r w:rsidR="00CF31F7" w:rsidRPr="002771C7">
        <w:rPr>
          <w:sz w:val="40"/>
          <w:szCs w:val="40"/>
        </w:rPr>
        <w:br w:type="page"/>
      </w:r>
    </w:p>
    <w:p w14:paraId="1830326D" w14:textId="77777777" w:rsidR="006B4B80" w:rsidRPr="008D6336" w:rsidRDefault="00ED04C3" w:rsidP="008B7291">
      <w:pPr>
        <w:pStyle w:val="a3"/>
        <w:jc w:val="center"/>
        <w:rPr>
          <w:sz w:val="40"/>
          <w:szCs w:val="40"/>
        </w:rPr>
      </w:pPr>
      <w:r w:rsidRPr="008D6336">
        <w:rPr>
          <w:sz w:val="40"/>
          <w:szCs w:val="40"/>
        </w:rPr>
        <w:lastRenderedPageBreak/>
        <w:t>Структурные препятствия</w:t>
      </w:r>
    </w:p>
    <w:p w14:paraId="0C0B31CE" w14:textId="77777777" w:rsidR="008B7291" w:rsidRPr="008D6336" w:rsidRDefault="008B7291" w:rsidP="008B7291">
      <w:pPr>
        <w:pStyle w:val="a3"/>
        <w:jc w:val="center"/>
        <w:rPr>
          <w:sz w:val="40"/>
          <w:szCs w:val="40"/>
        </w:rPr>
      </w:pPr>
    </w:p>
    <w:p w14:paraId="248253C6" w14:textId="3A46C9EF" w:rsidR="00ED04C3" w:rsidRPr="008D6336" w:rsidRDefault="00C4481F" w:rsidP="00FB34C9">
      <w:pPr>
        <w:jc w:val="both"/>
        <w:rPr>
          <w:sz w:val="40"/>
          <w:szCs w:val="40"/>
        </w:rPr>
      </w:pPr>
      <w:r w:rsidRPr="008D6336">
        <w:rPr>
          <w:sz w:val="40"/>
          <w:szCs w:val="40"/>
        </w:rPr>
        <w:t>Документ</w:t>
      </w:r>
      <w:r w:rsidR="00ED04C3" w:rsidRPr="008D6336">
        <w:rPr>
          <w:sz w:val="40"/>
          <w:szCs w:val="40"/>
        </w:rPr>
        <w:t>, опубликованн</w:t>
      </w:r>
      <w:r w:rsidRPr="008D6336">
        <w:rPr>
          <w:sz w:val="40"/>
          <w:szCs w:val="40"/>
        </w:rPr>
        <w:t>ый</w:t>
      </w:r>
      <w:r w:rsidR="00ED04C3" w:rsidRPr="008D6336">
        <w:rPr>
          <w:sz w:val="40"/>
          <w:szCs w:val="40"/>
        </w:rPr>
        <w:t xml:space="preserve"> </w:t>
      </w:r>
      <w:r w:rsidR="00ED04C3" w:rsidRPr="008D6336">
        <w:rPr>
          <w:sz w:val="40"/>
          <w:szCs w:val="40"/>
          <w:lang w:val="en-US"/>
        </w:rPr>
        <w:t>KPMG</w:t>
      </w:r>
      <w:r w:rsidRPr="008D6336">
        <w:rPr>
          <w:sz w:val="40"/>
          <w:szCs w:val="40"/>
        </w:rPr>
        <w:t>, «</w:t>
      </w:r>
      <w:r w:rsidR="00836E72" w:rsidRPr="008D6336">
        <w:rPr>
          <w:sz w:val="40"/>
          <w:szCs w:val="40"/>
        </w:rPr>
        <w:t xml:space="preserve">Препятствия: Почему </w:t>
      </w:r>
      <w:r w:rsidRPr="008D6336">
        <w:rPr>
          <w:sz w:val="40"/>
          <w:szCs w:val="40"/>
        </w:rPr>
        <w:t>проблема остается</w:t>
      </w:r>
      <w:r w:rsidR="00836E72" w:rsidRPr="008D6336">
        <w:rPr>
          <w:sz w:val="40"/>
          <w:szCs w:val="40"/>
        </w:rPr>
        <w:t>»</w:t>
      </w:r>
      <w:r w:rsidR="00ED04C3" w:rsidRPr="008D6336">
        <w:rPr>
          <w:sz w:val="40"/>
          <w:szCs w:val="40"/>
        </w:rPr>
        <w:t xml:space="preserve"> </w:t>
      </w:r>
      <w:r w:rsidRPr="008D6336">
        <w:rPr>
          <w:sz w:val="40"/>
          <w:szCs w:val="40"/>
        </w:rPr>
        <w:t>дает четкое представление о структурных барьерах</w:t>
      </w:r>
      <w:r w:rsidR="00ED04C3" w:rsidRPr="008D6336">
        <w:rPr>
          <w:sz w:val="40"/>
          <w:szCs w:val="40"/>
        </w:rPr>
        <w:t>.</w:t>
      </w:r>
    </w:p>
    <w:p w14:paraId="36D4A5A7" w14:textId="788E0B28" w:rsidR="00ED04C3" w:rsidRPr="008D6336" w:rsidRDefault="00ED04C3" w:rsidP="00FB34C9">
      <w:pPr>
        <w:pStyle w:val="a3"/>
        <w:numPr>
          <w:ilvl w:val="0"/>
          <w:numId w:val="2"/>
        </w:numPr>
        <w:ind w:left="142" w:right="-477"/>
        <w:jc w:val="both"/>
        <w:rPr>
          <w:sz w:val="40"/>
          <w:szCs w:val="40"/>
        </w:rPr>
      </w:pPr>
      <w:r w:rsidRPr="008D6336">
        <w:rPr>
          <w:sz w:val="40"/>
          <w:szCs w:val="40"/>
        </w:rPr>
        <w:t>Несбалансированн</w:t>
      </w:r>
      <w:r w:rsidR="00302AF7" w:rsidRPr="008D6336">
        <w:rPr>
          <w:sz w:val="40"/>
          <w:szCs w:val="40"/>
        </w:rPr>
        <w:t>ые</w:t>
      </w:r>
      <w:r w:rsidRPr="008D6336">
        <w:rPr>
          <w:sz w:val="40"/>
          <w:szCs w:val="40"/>
        </w:rPr>
        <w:t xml:space="preserve"> национальны</w:t>
      </w:r>
      <w:r w:rsidR="00302AF7" w:rsidRPr="008D6336">
        <w:rPr>
          <w:sz w:val="40"/>
          <w:szCs w:val="40"/>
        </w:rPr>
        <w:t>е процедуры банкротства</w:t>
      </w:r>
      <w:r w:rsidRPr="008D6336">
        <w:rPr>
          <w:sz w:val="40"/>
          <w:szCs w:val="40"/>
        </w:rPr>
        <w:t xml:space="preserve">, </w:t>
      </w:r>
      <w:r w:rsidR="00302AF7" w:rsidRPr="008D6336">
        <w:rPr>
          <w:sz w:val="40"/>
          <w:szCs w:val="40"/>
        </w:rPr>
        <w:t>при которых</w:t>
      </w:r>
      <w:r w:rsidRPr="008D6336">
        <w:rPr>
          <w:sz w:val="40"/>
          <w:szCs w:val="40"/>
        </w:rPr>
        <w:t xml:space="preserve"> некоторые типы </w:t>
      </w:r>
      <w:r w:rsidR="00302AF7" w:rsidRPr="008D6336">
        <w:rPr>
          <w:sz w:val="40"/>
          <w:szCs w:val="40"/>
        </w:rPr>
        <w:t>заемщиков</w:t>
      </w:r>
      <w:r w:rsidRPr="008D6336">
        <w:rPr>
          <w:sz w:val="40"/>
          <w:szCs w:val="40"/>
        </w:rPr>
        <w:t xml:space="preserve"> (например, физические лица, заемщики ипотечных кредитов) чрезмерно защищены от юридических принудительных мер по закрытию </w:t>
      </w:r>
      <w:r w:rsidR="00302AF7" w:rsidRPr="008D6336">
        <w:rPr>
          <w:sz w:val="40"/>
          <w:szCs w:val="40"/>
        </w:rPr>
        <w:t>проблемных долгов</w:t>
      </w:r>
      <w:r w:rsidRPr="008D6336">
        <w:rPr>
          <w:sz w:val="40"/>
          <w:szCs w:val="40"/>
        </w:rPr>
        <w:t xml:space="preserve"> </w:t>
      </w:r>
      <w:r w:rsidR="009D7A23" w:rsidRPr="008D6336">
        <w:rPr>
          <w:sz w:val="40"/>
          <w:szCs w:val="40"/>
        </w:rPr>
        <w:t xml:space="preserve">посредством </w:t>
      </w:r>
      <w:r w:rsidR="00496CBA" w:rsidRPr="008D6336">
        <w:rPr>
          <w:sz w:val="40"/>
          <w:szCs w:val="40"/>
        </w:rPr>
        <w:t>взыскания</w:t>
      </w:r>
      <w:r w:rsidR="009D7A23" w:rsidRPr="008D6336">
        <w:rPr>
          <w:sz w:val="40"/>
          <w:szCs w:val="40"/>
        </w:rPr>
        <w:t xml:space="preserve"> имущественного залога.</w:t>
      </w:r>
    </w:p>
    <w:p w14:paraId="4BA30EF7" w14:textId="77777777" w:rsidR="00496CBA" w:rsidRPr="008D6336" w:rsidRDefault="00976CA7" w:rsidP="00FB34C9">
      <w:pPr>
        <w:pStyle w:val="a3"/>
        <w:numPr>
          <w:ilvl w:val="0"/>
          <w:numId w:val="2"/>
        </w:numPr>
        <w:ind w:left="142" w:right="-477"/>
        <w:jc w:val="both"/>
        <w:rPr>
          <w:sz w:val="40"/>
          <w:szCs w:val="40"/>
        </w:rPr>
      </w:pPr>
      <w:r w:rsidRPr="008D6336">
        <w:rPr>
          <w:sz w:val="40"/>
          <w:szCs w:val="40"/>
        </w:rPr>
        <w:t>Невозможность</w:t>
      </w:r>
      <w:r w:rsidR="00302AF7" w:rsidRPr="008D6336">
        <w:rPr>
          <w:sz w:val="40"/>
          <w:szCs w:val="40"/>
        </w:rPr>
        <w:t xml:space="preserve"> внесудебной</w:t>
      </w:r>
      <w:r w:rsidRPr="008D6336">
        <w:rPr>
          <w:sz w:val="40"/>
          <w:szCs w:val="40"/>
        </w:rPr>
        <w:t xml:space="preserve"> реструктуризации </w:t>
      </w:r>
    </w:p>
    <w:p w14:paraId="58989017" w14:textId="77777777" w:rsidR="004532F7" w:rsidRPr="008D6336" w:rsidRDefault="00496CBA" w:rsidP="00FB34C9">
      <w:pPr>
        <w:pStyle w:val="a3"/>
        <w:numPr>
          <w:ilvl w:val="0"/>
          <w:numId w:val="2"/>
        </w:numPr>
        <w:ind w:left="142" w:right="-477"/>
        <w:jc w:val="both"/>
        <w:rPr>
          <w:sz w:val="40"/>
          <w:szCs w:val="40"/>
        </w:rPr>
      </w:pPr>
      <w:r w:rsidRPr="008D6336">
        <w:rPr>
          <w:sz w:val="40"/>
          <w:szCs w:val="40"/>
        </w:rPr>
        <w:t>Недостаточное количество должным образом подготовленного персонала судебной системы, имеющего опыт работы в банковской сфере для надлежащей работы с должниками.</w:t>
      </w:r>
    </w:p>
    <w:p w14:paraId="57CA56EA" w14:textId="77777777" w:rsidR="00FB34C9" w:rsidRPr="008D6336" w:rsidRDefault="004532F7" w:rsidP="00FB34C9">
      <w:pPr>
        <w:pStyle w:val="a3"/>
        <w:numPr>
          <w:ilvl w:val="0"/>
          <w:numId w:val="2"/>
        </w:numPr>
        <w:ind w:left="142" w:right="-477"/>
        <w:jc w:val="both"/>
        <w:rPr>
          <w:sz w:val="40"/>
          <w:szCs w:val="40"/>
        </w:rPr>
      </w:pPr>
      <w:r w:rsidRPr="008D6336">
        <w:rPr>
          <w:sz w:val="40"/>
          <w:szCs w:val="40"/>
        </w:rPr>
        <w:t>Политическое давление на кредиторов и судебную систему с целью избежать процедуры банкротства.</w:t>
      </w:r>
    </w:p>
    <w:p w14:paraId="1AA2EF03" w14:textId="1DD529AD" w:rsidR="00FB34C9" w:rsidRPr="008D6336" w:rsidRDefault="00FB34C9" w:rsidP="00FB34C9">
      <w:pPr>
        <w:pStyle w:val="a3"/>
        <w:numPr>
          <w:ilvl w:val="0"/>
          <w:numId w:val="2"/>
        </w:numPr>
        <w:ind w:left="142" w:right="-477"/>
        <w:jc w:val="both"/>
        <w:rPr>
          <w:sz w:val="40"/>
          <w:szCs w:val="40"/>
        </w:rPr>
      </w:pPr>
      <w:r w:rsidRPr="008D6336">
        <w:rPr>
          <w:sz w:val="40"/>
          <w:szCs w:val="40"/>
        </w:rPr>
        <w:t xml:space="preserve">Нормативные ограничения в отношении </w:t>
      </w:r>
      <w:proofErr w:type="spellStart"/>
      <w:r w:rsidRPr="008D6336">
        <w:rPr>
          <w:sz w:val="40"/>
          <w:szCs w:val="40"/>
        </w:rPr>
        <w:t>акт</w:t>
      </w:r>
      <w:r w:rsidR="008D6336" w:rsidRPr="008D6336">
        <w:rPr>
          <w:sz w:val="40"/>
          <w:szCs w:val="40"/>
        </w:rPr>
        <w:t>Е</w:t>
      </w:r>
      <w:r w:rsidRPr="008D6336">
        <w:rPr>
          <w:sz w:val="40"/>
          <w:szCs w:val="40"/>
        </w:rPr>
        <w:t>ивов</w:t>
      </w:r>
      <w:proofErr w:type="spellEnd"/>
      <w:r w:rsidRPr="008D6336">
        <w:rPr>
          <w:sz w:val="40"/>
          <w:szCs w:val="40"/>
        </w:rPr>
        <w:t>, которыми владеют кредиторы, классификация, положения, которые ограничивают возможности для оптимального управления доходной частью портфеля, при наличии правил, разрешающих продажу портфеля банка только другим банкам.</w:t>
      </w:r>
    </w:p>
    <w:p w14:paraId="0F64D8BF" w14:textId="77B80CBF" w:rsidR="008B7067" w:rsidRPr="00FB34C9" w:rsidRDefault="00FB34C9" w:rsidP="00FB34C9">
      <w:pPr>
        <w:pStyle w:val="a3"/>
        <w:numPr>
          <w:ilvl w:val="0"/>
          <w:numId w:val="2"/>
        </w:numPr>
        <w:ind w:left="142" w:right="-477"/>
        <w:jc w:val="both"/>
        <w:rPr>
          <w:color w:val="00B050"/>
          <w:sz w:val="40"/>
          <w:szCs w:val="40"/>
        </w:rPr>
      </w:pPr>
      <w:r w:rsidRPr="008D6336">
        <w:rPr>
          <w:sz w:val="40"/>
          <w:szCs w:val="40"/>
        </w:rPr>
        <w:t>Нормативные или некоторые другие ограничения в отношении продажи некоторых видов залога, таких как жилая недвижимость.</w:t>
      </w:r>
      <w:r w:rsidR="008B7067" w:rsidRPr="00FB34C9">
        <w:rPr>
          <w:sz w:val="40"/>
          <w:szCs w:val="40"/>
        </w:rPr>
        <w:br w:type="page"/>
      </w:r>
    </w:p>
    <w:p w14:paraId="2ADBC76B" w14:textId="1DF7BEBE" w:rsidR="009D7A23" w:rsidRPr="008D6336" w:rsidRDefault="009672F6" w:rsidP="00A97750">
      <w:pPr>
        <w:jc w:val="center"/>
        <w:rPr>
          <w:sz w:val="40"/>
          <w:szCs w:val="40"/>
        </w:rPr>
      </w:pPr>
      <w:r w:rsidRPr="008D6336">
        <w:rPr>
          <w:sz w:val="40"/>
          <w:szCs w:val="40"/>
        </w:rPr>
        <w:lastRenderedPageBreak/>
        <w:t xml:space="preserve">Проблемные кредиты в </w:t>
      </w:r>
      <w:r w:rsidR="008B7067" w:rsidRPr="008D6336">
        <w:rPr>
          <w:sz w:val="40"/>
          <w:szCs w:val="40"/>
        </w:rPr>
        <w:t>Ч</w:t>
      </w:r>
      <w:r w:rsidRPr="008D6336">
        <w:rPr>
          <w:sz w:val="40"/>
          <w:szCs w:val="40"/>
        </w:rPr>
        <w:t>ерногории</w:t>
      </w:r>
    </w:p>
    <w:p w14:paraId="4C7E17E8" w14:textId="77777777" w:rsidR="008B7291" w:rsidRPr="008D6336" w:rsidRDefault="008B7291" w:rsidP="00A97750">
      <w:pPr>
        <w:jc w:val="center"/>
        <w:rPr>
          <w:sz w:val="40"/>
          <w:szCs w:val="40"/>
        </w:rPr>
      </w:pPr>
    </w:p>
    <w:p w14:paraId="1C67F66D" w14:textId="6307C36C" w:rsidR="00F7297F" w:rsidRPr="008D6336" w:rsidRDefault="008D5B51">
      <w:pPr>
        <w:rPr>
          <w:sz w:val="40"/>
          <w:szCs w:val="40"/>
        </w:rPr>
      </w:pPr>
      <w:r w:rsidRPr="008D6336">
        <w:rPr>
          <w:sz w:val="40"/>
          <w:szCs w:val="40"/>
        </w:rPr>
        <w:t>В Черногории ограничения устанавливаются Решением</w:t>
      </w:r>
      <w:r w:rsidR="002F6674" w:rsidRPr="008D6336">
        <w:rPr>
          <w:sz w:val="40"/>
          <w:szCs w:val="40"/>
        </w:rPr>
        <w:t xml:space="preserve"> о минимальных стандартах по управлению кредитным риском в банках, </w:t>
      </w:r>
      <w:r w:rsidRPr="008D6336">
        <w:rPr>
          <w:sz w:val="40"/>
          <w:szCs w:val="40"/>
        </w:rPr>
        <w:t>утверждённым</w:t>
      </w:r>
      <w:r w:rsidR="002F6674" w:rsidRPr="008D6336">
        <w:rPr>
          <w:sz w:val="40"/>
          <w:szCs w:val="40"/>
        </w:rPr>
        <w:t xml:space="preserve"> </w:t>
      </w:r>
      <w:r w:rsidRPr="008D6336">
        <w:rPr>
          <w:sz w:val="40"/>
          <w:szCs w:val="40"/>
        </w:rPr>
        <w:t>Центральным банком</w:t>
      </w:r>
      <w:r w:rsidR="002F6674" w:rsidRPr="008D6336">
        <w:rPr>
          <w:sz w:val="40"/>
          <w:szCs w:val="40"/>
        </w:rPr>
        <w:t>. Банк</w:t>
      </w:r>
      <w:r w:rsidRPr="008D6336">
        <w:rPr>
          <w:sz w:val="40"/>
          <w:szCs w:val="40"/>
        </w:rPr>
        <w:t>и</w:t>
      </w:r>
      <w:r w:rsidR="002F6674" w:rsidRPr="008D6336">
        <w:rPr>
          <w:sz w:val="40"/>
          <w:szCs w:val="40"/>
        </w:rPr>
        <w:t xml:space="preserve"> Черногории</w:t>
      </w:r>
      <w:r w:rsidRPr="008D6336">
        <w:rPr>
          <w:sz w:val="40"/>
          <w:szCs w:val="40"/>
        </w:rPr>
        <w:t xml:space="preserve"> имеют право</w:t>
      </w:r>
      <w:r w:rsidR="002F6674" w:rsidRPr="008D6336">
        <w:rPr>
          <w:sz w:val="40"/>
          <w:szCs w:val="40"/>
        </w:rPr>
        <w:t>:</w:t>
      </w:r>
    </w:p>
    <w:p w14:paraId="3BE0EB9D" w14:textId="4F2B3C92" w:rsidR="008D5B51" w:rsidRPr="008D6336" w:rsidRDefault="008D5B51" w:rsidP="008D5B51">
      <w:pPr>
        <w:pStyle w:val="a3"/>
        <w:numPr>
          <w:ilvl w:val="0"/>
          <w:numId w:val="4"/>
        </w:numPr>
        <w:rPr>
          <w:sz w:val="40"/>
          <w:szCs w:val="40"/>
        </w:rPr>
      </w:pPr>
      <w:r w:rsidRPr="008D6336">
        <w:rPr>
          <w:sz w:val="40"/>
          <w:szCs w:val="40"/>
        </w:rPr>
        <w:t>Переуступить кредит или прочую дебиторскую задолженность, превышающую 50 000 евро, с предварительного одобрения Центрального банка.</w:t>
      </w:r>
    </w:p>
    <w:p w14:paraId="5431DE2E" w14:textId="5A52DE13" w:rsidR="00085BB7" w:rsidRPr="008D6336" w:rsidRDefault="00085BB7" w:rsidP="00085BB7">
      <w:pPr>
        <w:pStyle w:val="a3"/>
        <w:numPr>
          <w:ilvl w:val="0"/>
          <w:numId w:val="4"/>
        </w:numPr>
        <w:jc w:val="both"/>
        <w:rPr>
          <w:sz w:val="40"/>
          <w:szCs w:val="40"/>
        </w:rPr>
      </w:pPr>
      <w:r w:rsidRPr="008D6336">
        <w:rPr>
          <w:sz w:val="40"/>
          <w:szCs w:val="40"/>
        </w:rPr>
        <w:t>Однако юридическое решение, предусмотренное статьей 36 Закона о защите прав потребителей, подразумевает, что дебиторская задолженность в отношении физических лиц может быть передана исключительно в другой банк или финансовое учреждение, лицензированное Центральным банком.</w:t>
      </w:r>
    </w:p>
    <w:p w14:paraId="3E4A6556" w14:textId="52207F66" w:rsidR="002D33AA" w:rsidRPr="008D6336" w:rsidRDefault="002D33AA" w:rsidP="002D33AA">
      <w:pPr>
        <w:pStyle w:val="a3"/>
        <w:numPr>
          <w:ilvl w:val="0"/>
          <w:numId w:val="4"/>
        </w:numPr>
        <w:jc w:val="both"/>
        <w:rPr>
          <w:sz w:val="40"/>
          <w:szCs w:val="40"/>
        </w:rPr>
      </w:pPr>
      <w:r w:rsidRPr="008D6336">
        <w:rPr>
          <w:sz w:val="40"/>
          <w:szCs w:val="40"/>
        </w:rPr>
        <w:t>В Решении о минимальных стандартах управления кредитными рисками в банках ничего не говорится о характеристиках дебиторской задолженности (то есть, является ли она успешным или неуспешным кредитом).</w:t>
      </w:r>
    </w:p>
    <w:p w14:paraId="5333E0B9" w14:textId="77777777" w:rsidR="00152CE5" w:rsidRDefault="00152CE5">
      <w:pPr>
        <w:rPr>
          <w:rFonts w:ascii="Arial" w:hAnsi="Arial" w:cs="Arial"/>
          <w:color w:val="000000"/>
          <w:sz w:val="58"/>
          <w:szCs w:val="58"/>
        </w:rPr>
      </w:pPr>
      <w:r>
        <w:rPr>
          <w:rFonts w:ascii="Arial" w:hAnsi="Arial" w:cs="Arial"/>
          <w:color w:val="000000"/>
          <w:sz w:val="58"/>
          <w:szCs w:val="58"/>
        </w:rPr>
        <w:br w:type="page"/>
      </w:r>
    </w:p>
    <w:p w14:paraId="0840F227" w14:textId="34710427" w:rsidR="008B7067" w:rsidRPr="008D6336" w:rsidRDefault="00A65AEC" w:rsidP="008B7291">
      <w:pPr>
        <w:jc w:val="center"/>
        <w:rPr>
          <w:sz w:val="40"/>
          <w:szCs w:val="40"/>
        </w:rPr>
      </w:pPr>
      <w:r w:rsidRPr="008D6336">
        <w:rPr>
          <w:sz w:val="40"/>
          <w:szCs w:val="40"/>
        </w:rPr>
        <w:lastRenderedPageBreak/>
        <w:t xml:space="preserve">Защита физических лиц в процессе </w:t>
      </w:r>
      <w:r w:rsidR="00BF6554" w:rsidRPr="008D6336">
        <w:rPr>
          <w:sz w:val="40"/>
          <w:szCs w:val="40"/>
        </w:rPr>
        <w:t>передачи</w:t>
      </w:r>
      <w:r w:rsidRPr="008D6336">
        <w:rPr>
          <w:sz w:val="40"/>
          <w:szCs w:val="40"/>
        </w:rPr>
        <w:t xml:space="preserve"> </w:t>
      </w:r>
      <w:r w:rsidR="00BF6554" w:rsidRPr="008D6336">
        <w:rPr>
          <w:sz w:val="40"/>
          <w:szCs w:val="40"/>
        </w:rPr>
        <w:t>NPL</w:t>
      </w:r>
      <w:r w:rsidR="00BF6554" w:rsidRPr="008D6336">
        <w:rPr>
          <w:sz w:val="40"/>
          <w:szCs w:val="40"/>
        </w:rPr>
        <w:t xml:space="preserve"> </w:t>
      </w:r>
      <w:r w:rsidRPr="008D6336">
        <w:rPr>
          <w:sz w:val="40"/>
          <w:szCs w:val="40"/>
        </w:rPr>
        <w:t>покупател</w:t>
      </w:r>
      <w:r w:rsidR="00BF6554" w:rsidRPr="008D6336">
        <w:rPr>
          <w:sz w:val="40"/>
          <w:szCs w:val="40"/>
        </w:rPr>
        <w:t>ю</w:t>
      </w:r>
      <w:r w:rsidRPr="008D6336">
        <w:rPr>
          <w:sz w:val="40"/>
          <w:szCs w:val="40"/>
        </w:rPr>
        <w:t xml:space="preserve"> </w:t>
      </w:r>
    </w:p>
    <w:p w14:paraId="3E966695" w14:textId="77777777" w:rsidR="008B7291" w:rsidRPr="008D6336" w:rsidRDefault="008B7291" w:rsidP="008B7291">
      <w:pPr>
        <w:jc w:val="center"/>
        <w:rPr>
          <w:sz w:val="40"/>
          <w:szCs w:val="40"/>
        </w:rPr>
      </w:pPr>
    </w:p>
    <w:p w14:paraId="5A84B1CA" w14:textId="3162EC19" w:rsidR="00F67E4F" w:rsidRPr="008D6336" w:rsidRDefault="00F67E4F">
      <w:pPr>
        <w:rPr>
          <w:sz w:val="40"/>
          <w:szCs w:val="40"/>
        </w:rPr>
      </w:pPr>
      <w:r w:rsidRPr="008D6336">
        <w:rPr>
          <w:sz w:val="40"/>
          <w:szCs w:val="40"/>
        </w:rPr>
        <w:t>Меры по защите клиентов-физических лиц в Черногории:</w:t>
      </w:r>
    </w:p>
    <w:p w14:paraId="78A39866" w14:textId="149424E4" w:rsidR="00D57D89" w:rsidRPr="008D6336" w:rsidRDefault="00D57D89" w:rsidP="00D57D89">
      <w:pPr>
        <w:pStyle w:val="a3"/>
        <w:numPr>
          <w:ilvl w:val="0"/>
          <w:numId w:val="5"/>
        </w:numPr>
        <w:rPr>
          <w:sz w:val="40"/>
          <w:szCs w:val="40"/>
        </w:rPr>
      </w:pPr>
      <w:r w:rsidRPr="008D6336">
        <w:rPr>
          <w:sz w:val="40"/>
          <w:szCs w:val="40"/>
        </w:rPr>
        <w:t>Физическое лицо сохраняет все права, которые имел</w:t>
      </w:r>
      <w:r w:rsidR="008B7291" w:rsidRPr="008D6336">
        <w:rPr>
          <w:sz w:val="40"/>
          <w:szCs w:val="40"/>
        </w:rPr>
        <w:t>о</w:t>
      </w:r>
      <w:r w:rsidRPr="008D6336">
        <w:rPr>
          <w:sz w:val="40"/>
          <w:szCs w:val="40"/>
        </w:rPr>
        <w:t xml:space="preserve"> с переуступающим банком</w:t>
      </w:r>
      <w:r w:rsidR="000559C3" w:rsidRPr="008D6336">
        <w:rPr>
          <w:sz w:val="40"/>
          <w:szCs w:val="40"/>
        </w:rPr>
        <w:t>,</w:t>
      </w:r>
      <w:r w:rsidRPr="008D6336">
        <w:rPr>
          <w:sz w:val="40"/>
          <w:szCs w:val="40"/>
        </w:rPr>
        <w:t xml:space="preserve"> по отношению к принимающему банку, включая право обжалования.</w:t>
      </w:r>
    </w:p>
    <w:p w14:paraId="371A7711" w14:textId="41E3FDB9" w:rsidR="00D57D89" w:rsidRPr="008D6336" w:rsidRDefault="00D40F1F" w:rsidP="00D57D89">
      <w:pPr>
        <w:pStyle w:val="a3"/>
        <w:numPr>
          <w:ilvl w:val="0"/>
          <w:numId w:val="5"/>
        </w:numPr>
        <w:rPr>
          <w:sz w:val="40"/>
          <w:szCs w:val="40"/>
        </w:rPr>
      </w:pPr>
      <w:r w:rsidRPr="008D6336">
        <w:rPr>
          <w:sz w:val="40"/>
          <w:szCs w:val="40"/>
        </w:rPr>
        <w:t>Принимающий банк не имеет права ставить</w:t>
      </w:r>
      <w:r w:rsidR="00D57D89" w:rsidRPr="008D6336">
        <w:rPr>
          <w:sz w:val="40"/>
          <w:szCs w:val="40"/>
        </w:rPr>
        <w:t xml:space="preserve"> </w:t>
      </w:r>
      <w:r w:rsidR="00317AEB" w:rsidRPr="008D6336">
        <w:rPr>
          <w:sz w:val="40"/>
          <w:szCs w:val="40"/>
        </w:rPr>
        <w:t>получателя</w:t>
      </w:r>
      <w:r w:rsidR="00D57D89" w:rsidRPr="008D6336">
        <w:rPr>
          <w:sz w:val="40"/>
          <w:szCs w:val="40"/>
        </w:rPr>
        <w:t xml:space="preserve"> финансовых услуг в </w:t>
      </w:r>
      <w:r w:rsidRPr="008D6336">
        <w:rPr>
          <w:sz w:val="40"/>
          <w:szCs w:val="40"/>
        </w:rPr>
        <w:t>менее выгодное положение</w:t>
      </w:r>
      <w:r w:rsidR="00D57D89" w:rsidRPr="008D6336">
        <w:rPr>
          <w:sz w:val="40"/>
          <w:szCs w:val="40"/>
        </w:rPr>
        <w:t>, чем в случае, если</w:t>
      </w:r>
      <w:r w:rsidRPr="008D6336">
        <w:rPr>
          <w:sz w:val="40"/>
          <w:szCs w:val="40"/>
        </w:rPr>
        <w:t xml:space="preserve"> бы</w:t>
      </w:r>
      <w:r w:rsidR="00D57D89" w:rsidRPr="008D6336">
        <w:rPr>
          <w:sz w:val="40"/>
          <w:szCs w:val="40"/>
        </w:rPr>
        <w:t xml:space="preserve"> кредит не был </w:t>
      </w:r>
      <w:r w:rsidRPr="008D6336">
        <w:rPr>
          <w:sz w:val="40"/>
          <w:szCs w:val="40"/>
        </w:rPr>
        <w:t>передан</w:t>
      </w:r>
      <w:r w:rsidR="00D57D89" w:rsidRPr="008D6336">
        <w:rPr>
          <w:sz w:val="40"/>
          <w:szCs w:val="40"/>
        </w:rPr>
        <w:t>.</w:t>
      </w:r>
    </w:p>
    <w:p w14:paraId="0D56A451" w14:textId="2871D62A" w:rsidR="00D57D89" w:rsidRPr="008D6336" w:rsidRDefault="00317AEB" w:rsidP="00317AEB">
      <w:pPr>
        <w:pStyle w:val="a3"/>
        <w:numPr>
          <w:ilvl w:val="0"/>
          <w:numId w:val="5"/>
        </w:numPr>
        <w:rPr>
          <w:sz w:val="40"/>
          <w:szCs w:val="40"/>
        </w:rPr>
      </w:pPr>
      <w:r w:rsidRPr="008D6336">
        <w:rPr>
          <w:sz w:val="40"/>
          <w:szCs w:val="40"/>
        </w:rPr>
        <w:t>Получатель</w:t>
      </w:r>
      <w:r w:rsidR="00D57D89" w:rsidRPr="008D6336">
        <w:rPr>
          <w:sz w:val="40"/>
          <w:szCs w:val="40"/>
        </w:rPr>
        <w:t xml:space="preserve"> финансовых услуг </w:t>
      </w:r>
      <w:r w:rsidR="008B7291" w:rsidRPr="008D6336">
        <w:rPr>
          <w:sz w:val="40"/>
          <w:szCs w:val="40"/>
        </w:rPr>
        <w:t xml:space="preserve">не </w:t>
      </w:r>
      <w:r w:rsidRPr="008D6336">
        <w:rPr>
          <w:sz w:val="40"/>
          <w:szCs w:val="40"/>
        </w:rPr>
        <w:t>должен</w:t>
      </w:r>
      <w:r w:rsidR="008B7291" w:rsidRPr="008D6336">
        <w:rPr>
          <w:sz w:val="40"/>
          <w:szCs w:val="40"/>
        </w:rPr>
        <w:t xml:space="preserve"> нести</w:t>
      </w:r>
      <w:r w:rsidR="00815370" w:rsidRPr="008D6336">
        <w:rPr>
          <w:sz w:val="40"/>
          <w:szCs w:val="40"/>
        </w:rPr>
        <w:t xml:space="preserve"> дополнительные расходы </w:t>
      </w:r>
      <w:r w:rsidRPr="008D6336">
        <w:rPr>
          <w:sz w:val="40"/>
          <w:szCs w:val="40"/>
        </w:rPr>
        <w:t>в результате переуступки дебиторской задолженности.</w:t>
      </w:r>
    </w:p>
    <w:p w14:paraId="4FEA626F" w14:textId="68479901" w:rsidR="000A27A7" w:rsidRPr="008D6336" w:rsidRDefault="00815370" w:rsidP="00B34553">
      <w:pPr>
        <w:pStyle w:val="a3"/>
        <w:numPr>
          <w:ilvl w:val="0"/>
          <w:numId w:val="5"/>
        </w:numPr>
        <w:jc w:val="both"/>
        <w:rPr>
          <w:sz w:val="40"/>
          <w:szCs w:val="40"/>
        </w:rPr>
      </w:pPr>
      <w:r w:rsidRPr="008D6336">
        <w:rPr>
          <w:sz w:val="40"/>
          <w:szCs w:val="40"/>
        </w:rPr>
        <w:t xml:space="preserve">Наличие текущего судебного спора не влияет на </w:t>
      </w:r>
      <w:r w:rsidR="00B34553" w:rsidRPr="008D6336">
        <w:rPr>
          <w:sz w:val="40"/>
          <w:szCs w:val="40"/>
        </w:rPr>
        <w:t>полноту передачи</w:t>
      </w:r>
      <w:r w:rsidR="000A27A7" w:rsidRPr="008D6336">
        <w:rPr>
          <w:sz w:val="40"/>
          <w:szCs w:val="40"/>
        </w:rPr>
        <w:t xml:space="preserve">. </w:t>
      </w:r>
      <w:r w:rsidR="00B34553" w:rsidRPr="008D6336">
        <w:rPr>
          <w:sz w:val="40"/>
          <w:szCs w:val="40"/>
        </w:rPr>
        <w:t>Однако, принимая во внимание положения Закона о гражданском судопроизводстве (статья 196), новый кредитор автоматически не вступает в производство вместо первоначального кредитора. Новый кредитор может участвовать в разбирательстве исключительно в случае согласия должника</w:t>
      </w:r>
      <w:r w:rsidR="00462CA5" w:rsidRPr="008D6336">
        <w:rPr>
          <w:sz w:val="40"/>
          <w:szCs w:val="40"/>
        </w:rPr>
        <w:t>.</w:t>
      </w:r>
    </w:p>
    <w:p w14:paraId="04FB6334" w14:textId="3D4B37E5" w:rsidR="00554A42" w:rsidRPr="008D6336" w:rsidRDefault="00C821BB" w:rsidP="00C821BB">
      <w:pPr>
        <w:pStyle w:val="a3"/>
        <w:numPr>
          <w:ilvl w:val="0"/>
          <w:numId w:val="5"/>
        </w:numPr>
        <w:jc w:val="both"/>
        <w:rPr>
          <w:sz w:val="40"/>
          <w:szCs w:val="40"/>
        </w:rPr>
      </w:pPr>
      <w:r w:rsidRPr="008D6336">
        <w:rPr>
          <w:sz w:val="40"/>
          <w:szCs w:val="40"/>
        </w:rPr>
        <w:t>Гражданское судопроизводство может быть возобновлено с теми же сторонами (то есть с первоначальным кредитором), и в этом случае новый кредитор может предъявить иск и исполнить его на основании окончательного решения суда, даже если он не был стороной в разбирательстве. Следует также отметить, что развитой прецедентной практики нет</w:t>
      </w:r>
      <w:r w:rsidR="005B43C4" w:rsidRPr="008D6336">
        <w:rPr>
          <w:sz w:val="40"/>
          <w:szCs w:val="40"/>
        </w:rPr>
        <w:t>.</w:t>
      </w:r>
      <w:r w:rsidR="00554A42" w:rsidRPr="008D6336">
        <w:rPr>
          <w:sz w:val="40"/>
          <w:szCs w:val="40"/>
        </w:rPr>
        <w:br w:type="page"/>
      </w:r>
    </w:p>
    <w:p w14:paraId="3B197597" w14:textId="295921CF" w:rsidR="00A65AEC" w:rsidRPr="008D6336" w:rsidRDefault="00554A42" w:rsidP="008B7291">
      <w:pPr>
        <w:jc w:val="center"/>
        <w:rPr>
          <w:sz w:val="40"/>
          <w:szCs w:val="40"/>
          <w:lang w:val="en-US"/>
        </w:rPr>
      </w:pPr>
      <w:proofErr w:type="spellStart"/>
      <w:r w:rsidRPr="008D6336">
        <w:rPr>
          <w:sz w:val="40"/>
          <w:szCs w:val="40"/>
          <w:lang w:val="en-US"/>
        </w:rPr>
        <w:lastRenderedPageBreak/>
        <w:t>Проблемы</w:t>
      </w:r>
      <w:proofErr w:type="spellEnd"/>
      <w:r w:rsidRPr="008D6336">
        <w:rPr>
          <w:sz w:val="40"/>
          <w:szCs w:val="40"/>
          <w:lang w:val="en-US"/>
        </w:rPr>
        <w:t xml:space="preserve"> </w:t>
      </w:r>
      <w:proofErr w:type="spellStart"/>
      <w:r w:rsidRPr="008D6336">
        <w:rPr>
          <w:sz w:val="40"/>
          <w:szCs w:val="40"/>
          <w:lang w:val="en-US"/>
        </w:rPr>
        <w:t>продаж</w:t>
      </w:r>
      <w:proofErr w:type="spellEnd"/>
      <w:r w:rsidR="001168F7" w:rsidRPr="008D6336">
        <w:rPr>
          <w:sz w:val="40"/>
          <w:szCs w:val="40"/>
        </w:rPr>
        <w:t>и</w:t>
      </w:r>
      <w:r w:rsidRPr="008D6336">
        <w:rPr>
          <w:sz w:val="40"/>
          <w:szCs w:val="40"/>
          <w:lang w:val="en-US"/>
        </w:rPr>
        <w:t xml:space="preserve"> NPL</w:t>
      </w:r>
    </w:p>
    <w:p w14:paraId="5AC1086E" w14:textId="77777777" w:rsidR="008B7291" w:rsidRPr="008D6336" w:rsidRDefault="008B7291" w:rsidP="008B7291">
      <w:pPr>
        <w:jc w:val="center"/>
        <w:rPr>
          <w:sz w:val="40"/>
          <w:szCs w:val="40"/>
          <w:lang w:val="en-US"/>
        </w:rPr>
      </w:pPr>
    </w:p>
    <w:p w14:paraId="3A6D575A" w14:textId="63C950E6" w:rsidR="00554A42" w:rsidRPr="008D6336" w:rsidRDefault="005D1D32" w:rsidP="005D1D32">
      <w:pPr>
        <w:pStyle w:val="a3"/>
        <w:numPr>
          <w:ilvl w:val="0"/>
          <w:numId w:val="6"/>
        </w:numPr>
        <w:jc w:val="both"/>
        <w:rPr>
          <w:sz w:val="40"/>
          <w:szCs w:val="40"/>
        </w:rPr>
      </w:pPr>
      <w:r w:rsidRPr="008D6336">
        <w:rPr>
          <w:sz w:val="40"/>
          <w:szCs w:val="40"/>
        </w:rPr>
        <w:t>Проблема институционального характера при заключении сделок продажи, в случае если несколько факторов могут повлиять на уровень предлагаемых цен</w:t>
      </w:r>
      <w:r w:rsidR="0079541D" w:rsidRPr="008D6336">
        <w:rPr>
          <w:sz w:val="40"/>
          <w:szCs w:val="40"/>
        </w:rPr>
        <w:t>.</w:t>
      </w:r>
    </w:p>
    <w:p w14:paraId="0FBCE70C" w14:textId="227DBD2C" w:rsidR="0079541D" w:rsidRPr="008D6336" w:rsidRDefault="0079541D" w:rsidP="00B43550">
      <w:pPr>
        <w:pStyle w:val="a3"/>
        <w:numPr>
          <w:ilvl w:val="0"/>
          <w:numId w:val="6"/>
        </w:numPr>
        <w:jc w:val="both"/>
        <w:rPr>
          <w:sz w:val="40"/>
          <w:szCs w:val="40"/>
        </w:rPr>
      </w:pPr>
      <w:r w:rsidRPr="008D6336">
        <w:rPr>
          <w:sz w:val="40"/>
          <w:szCs w:val="40"/>
        </w:rPr>
        <w:t>Некорректная база д</w:t>
      </w:r>
      <w:r w:rsidR="00FF1309" w:rsidRPr="008D6336">
        <w:rPr>
          <w:sz w:val="40"/>
          <w:szCs w:val="40"/>
        </w:rPr>
        <w:t xml:space="preserve">анных и информация, не совпадающая </w:t>
      </w:r>
      <w:r w:rsidR="00B43550" w:rsidRPr="008D6336">
        <w:rPr>
          <w:sz w:val="40"/>
          <w:szCs w:val="40"/>
        </w:rPr>
        <w:t>с желанием</w:t>
      </w:r>
      <w:r w:rsidR="005642E3" w:rsidRPr="008D6336">
        <w:rPr>
          <w:sz w:val="40"/>
          <w:szCs w:val="40"/>
        </w:rPr>
        <w:t xml:space="preserve"> инвестора, который в следствии</w:t>
      </w:r>
      <w:r w:rsidR="00B43550" w:rsidRPr="008D6336">
        <w:rPr>
          <w:sz w:val="40"/>
          <w:szCs w:val="40"/>
        </w:rPr>
        <w:t xml:space="preserve"> неопределенности</w:t>
      </w:r>
      <w:r w:rsidR="00FF1309" w:rsidRPr="008D6336">
        <w:rPr>
          <w:sz w:val="40"/>
          <w:szCs w:val="40"/>
        </w:rPr>
        <w:t xml:space="preserve"> предлагает сниженную цену.</w:t>
      </w:r>
    </w:p>
    <w:p w14:paraId="5CF8788C" w14:textId="77777777" w:rsidR="00FF1309" w:rsidRPr="008D6336" w:rsidRDefault="00FF1309" w:rsidP="00E72DB7">
      <w:pPr>
        <w:pStyle w:val="a3"/>
        <w:numPr>
          <w:ilvl w:val="0"/>
          <w:numId w:val="6"/>
        </w:numPr>
        <w:jc w:val="both"/>
        <w:rPr>
          <w:sz w:val="40"/>
          <w:szCs w:val="40"/>
        </w:rPr>
      </w:pPr>
      <w:r w:rsidRPr="008D6336">
        <w:rPr>
          <w:sz w:val="40"/>
          <w:szCs w:val="40"/>
        </w:rPr>
        <w:t>Потенциальное время и расходы, возникающие в процессе взыскания покупаемого NPL портфеля или взыскание из имущественного залога</w:t>
      </w:r>
      <w:r w:rsidR="00351D10" w:rsidRPr="008D6336">
        <w:rPr>
          <w:sz w:val="40"/>
          <w:szCs w:val="40"/>
        </w:rPr>
        <w:t xml:space="preserve">, </w:t>
      </w:r>
      <w:r w:rsidR="00B649FA" w:rsidRPr="008D6336">
        <w:rPr>
          <w:sz w:val="40"/>
          <w:szCs w:val="40"/>
        </w:rPr>
        <w:t>неизбежно</w:t>
      </w:r>
      <w:r w:rsidR="00A35725" w:rsidRPr="008D6336">
        <w:rPr>
          <w:sz w:val="40"/>
          <w:szCs w:val="40"/>
        </w:rPr>
        <w:t xml:space="preserve"> сокращает и уменьшает договорную экономическую стоимость </w:t>
      </w:r>
      <w:r w:rsidR="00A35725" w:rsidRPr="008D6336">
        <w:rPr>
          <w:sz w:val="40"/>
          <w:szCs w:val="40"/>
          <w:lang w:val="en-US"/>
        </w:rPr>
        <w:t>NPL</w:t>
      </w:r>
    </w:p>
    <w:p w14:paraId="43356DBF" w14:textId="77777777" w:rsidR="00B649FA" w:rsidRPr="008D6336" w:rsidRDefault="0090264B" w:rsidP="00E72DB7">
      <w:pPr>
        <w:pStyle w:val="a3"/>
        <w:numPr>
          <w:ilvl w:val="0"/>
          <w:numId w:val="6"/>
        </w:numPr>
        <w:jc w:val="both"/>
        <w:rPr>
          <w:sz w:val="40"/>
          <w:szCs w:val="40"/>
        </w:rPr>
      </w:pPr>
      <w:r w:rsidRPr="008D6336">
        <w:rPr>
          <w:sz w:val="40"/>
          <w:szCs w:val="40"/>
        </w:rPr>
        <w:t xml:space="preserve">Различное видение в области макроэкономических показателей – локальные банки </w:t>
      </w:r>
      <w:r w:rsidR="00E16F9B" w:rsidRPr="008D6336">
        <w:rPr>
          <w:sz w:val="40"/>
          <w:szCs w:val="40"/>
        </w:rPr>
        <w:t xml:space="preserve">могут быть оптимистичнее </w:t>
      </w:r>
      <w:r w:rsidR="005642E3" w:rsidRPr="008D6336">
        <w:rPr>
          <w:sz w:val="40"/>
          <w:szCs w:val="40"/>
        </w:rPr>
        <w:t>настроены в отношении экономических изменений по сравнению с покупателем в контексте возможностей, потенциала и перспектив локальной экономики.</w:t>
      </w:r>
    </w:p>
    <w:p w14:paraId="73C01EE3" w14:textId="77777777" w:rsidR="005642E3" w:rsidRDefault="005642E3" w:rsidP="005642E3">
      <w:pPr>
        <w:pStyle w:val="a3"/>
        <w:rPr>
          <w:sz w:val="40"/>
          <w:szCs w:val="40"/>
        </w:rPr>
      </w:pPr>
    </w:p>
    <w:p w14:paraId="2C6DD6E3" w14:textId="77777777" w:rsidR="00D4510F" w:rsidRDefault="00D4510F">
      <w:pPr>
        <w:rPr>
          <w:sz w:val="40"/>
          <w:szCs w:val="40"/>
        </w:rPr>
      </w:pPr>
      <w:r>
        <w:rPr>
          <w:sz w:val="40"/>
          <w:szCs w:val="40"/>
        </w:rPr>
        <w:br w:type="page"/>
      </w:r>
    </w:p>
    <w:p w14:paraId="0CD99603" w14:textId="77777777" w:rsidR="00554A42" w:rsidRDefault="00D4510F" w:rsidP="00D4510F">
      <w:pPr>
        <w:jc w:val="center"/>
        <w:rPr>
          <w:sz w:val="40"/>
          <w:szCs w:val="40"/>
          <w:lang w:val="en-US"/>
        </w:rPr>
      </w:pPr>
      <w:r>
        <w:rPr>
          <w:sz w:val="40"/>
          <w:szCs w:val="40"/>
        </w:rPr>
        <w:lastRenderedPageBreak/>
        <w:t xml:space="preserve">Европа и </w:t>
      </w:r>
      <w:r>
        <w:rPr>
          <w:sz w:val="40"/>
          <w:szCs w:val="40"/>
          <w:lang w:val="en-US"/>
        </w:rPr>
        <w:t>NPL</w:t>
      </w:r>
    </w:p>
    <w:p w14:paraId="125CB8E0" w14:textId="77777777" w:rsidR="00D4510F" w:rsidRDefault="00D4510F">
      <w:pPr>
        <w:rPr>
          <w:sz w:val="40"/>
          <w:szCs w:val="40"/>
          <w:lang w:val="en-US"/>
        </w:rPr>
      </w:pPr>
      <w:r w:rsidRPr="00D4510F">
        <w:rPr>
          <w:noProof/>
          <w:sz w:val="40"/>
          <w:szCs w:val="40"/>
          <w:lang w:eastAsia="ru-RU"/>
        </w:rPr>
        <w:drawing>
          <wp:inline distT="0" distB="0" distL="0" distR="0" wp14:anchorId="7FE01AA4" wp14:editId="536B0674">
            <wp:extent cx="8204835" cy="5438140"/>
            <wp:effectExtent l="0" t="0" r="0" b="0"/>
            <wp:docPr id="4" name="Content Placeholder 3" descr="https://assets.bwbx.io/images/users/iqjWHBFdfxIU/igVnx8EWNYR0/v3/800x-1.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https://assets.bwbx.io/images/users/iqjWHBFdfxIU/igVnx8EWNYR0/v3/800x-1.png"/>
                    <pic:cNvPicPr>
                      <a:picLocks noGr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9155" cy="5474143"/>
                    </a:xfrm>
                    <a:prstGeom prst="rect">
                      <a:avLst/>
                    </a:prstGeom>
                    <a:noFill/>
                    <a:ln>
                      <a:noFill/>
                    </a:ln>
                  </pic:spPr>
                </pic:pic>
              </a:graphicData>
            </a:graphic>
          </wp:inline>
        </w:drawing>
      </w:r>
      <w:r>
        <w:rPr>
          <w:sz w:val="40"/>
          <w:szCs w:val="40"/>
          <w:lang w:val="en-US"/>
        </w:rPr>
        <w:br w:type="page"/>
      </w:r>
    </w:p>
    <w:p w14:paraId="0A2D1D4E" w14:textId="77777777" w:rsidR="00F57B84" w:rsidRPr="008D6336" w:rsidRDefault="00D4510F" w:rsidP="00F57B84">
      <w:pPr>
        <w:jc w:val="center"/>
        <w:rPr>
          <w:sz w:val="40"/>
          <w:szCs w:val="40"/>
        </w:rPr>
      </w:pPr>
      <w:r w:rsidRPr="008D6336">
        <w:rPr>
          <w:sz w:val="40"/>
          <w:szCs w:val="40"/>
        </w:rPr>
        <w:lastRenderedPageBreak/>
        <w:t xml:space="preserve">Европа и </w:t>
      </w:r>
      <w:r w:rsidRPr="008D6336">
        <w:rPr>
          <w:sz w:val="40"/>
          <w:szCs w:val="40"/>
          <w:lang w:val="en-US"/>
        </w:rPr>
        <w:t>NPL</w:t>
      </w:r>
    </w:p>
    <w:p w14:paraId="7FC9E816" w14:textId="77777777" w:rsidR="00D4510F" w:rsidRPr="008D6336" w:rsidRDefault="00D4510F">
      <w:pPr>
        <w:rPr>
          <w:sz w:val="40"/>
          <w:szCs w:val="40"/>
        </w:rPr>
      </w:pPr>
    </w:p>
    <w:p w14:paraId="0820CC04" w14:textId="47207272" w:rsidR="002572ED" w:rsidRPr="008D6336" w:rsidRDefault="002572ED" w:rsidP="001F6B42">
      <w:pPr>
        <w:widowControl w:val="0"/>
        <w:autoSpaceDE w:val="0"/>
        <w:autoSpaceDN w:val="0"/>
        <w:adjustRightInd w:val="0"/>
        <w:spacing w:line="660" w:lineRule="atLeast"/>
        <w:jc w:val="both"/>
        <w:rPr>
          <w:rFonts w:ascii="Calibri" w:hAnsi="Calibri" w:cs="Calibri"/>
          <w:sz w:val="40"/>
          <w:szCs w:val="40"/>
        </w:rPr>
      </w:pPr>
      <w:r w:rsidRPr="008D6336">
        <w:rPr>
          <w:rFonts w:ascii="Calibri" w:hAnsi="Calibri" w:cs="Calibri"/>
          <w:sz w:val="40"/>
          <w:szCs w:val="40"/>
        </w:rPr>
        <w:t xml:space="preserve">По информации на от 14 февраля 2018 года невозвратные кредиты являются головной болью европейских банков, которая никак не проходит: 944 миллиарда евро (1,17 трлн. </w:t>
      </w:r>
      <w:r w:rsidR="008C6D23" w:rsidRPr="008D6336">
        <w:rPr>
          <w:rFonts w:ascii="Calibri" w:hAnsi="Calibri" w:cs="Calibri"/>
          <w:sz w:val="40"/>
          <w:szCs w:val="40"/>
        </w:rPr>
        <w:t>д</w:t>
      </w:r>
      <w:r w:rsidRPr="008D6336">
        <w:rPr>
          <w:rFonts w:ascii="Calibri" w:hAnsi="Calibri" w:cs="Calibri"/>
          <w:sz w:val="40"/>
          <w:szCs w:val="40"/>
        </w:rPr>
        <w:t>олл. США) н</w:t>
      </w:r>
      <w:r w:rsidR="008C6D23" w:rsidRPr="008D6336">
        <w:rPr>
          <w:rFonts w:ascii="Calibri" w:hAnsi="Calibri" w:cs="Calibri"/>
          <w:sz w:val="40"/>
          <w:szCs w:val="40"/>
        </w:rPr>
        <w:t>е</w:t>
      </w:r>
      <w:r w:rsidRPr="008D6336">
        <w:rPr>
          <w:rFonts w:ascii="Calibri" w:hAnsi="Calibri" w:cs="Calibri"/>
          <w:sz w:val="40"/>
          <w:szCs w:val="40"/>
        </w:rPr>
        <w:t xml:space="preserve">успешных кредитов, </w:t>
      </w:r>
      <w:r w:rsidR="008C6D23" w:rsidRPr="008D6336">
        <w:rPr>
          <w:rFonts w:ascii="Calibri" w:hAnsi="Calibri" w:cs="Calibri"/>
          <w:sz w:val="40"/>
          <w:szCs w:val="40"/>
        </w:rPr>
        <w:t>отягощающих</w:t>
      </w:r>
      <w:r w:rsidRPr="008D6336">
        <w:rPr>
          <w:rFonts w:ascii="Calibri" w:hAnsi="Calibri" w:cs="Calibri"/>
          <w:sz w:val="40"/>
          <w:szCs w:val="40"/>
        </w:rPr>
        <w:t xml:space="preserve"> их балансы. Эта проблема особенно остро стоит в странах, которые сильнее всего пострадали от кризиса суверенного долга. Греция, которая еще не вышла из своей программы </w:t>
      </w:r>
      <w:r w:rsidR="001F6B42" w:rsidRPr="008D6336">
        <w:rPr>
          <w:rFonts w:ascii="Calibri" w:hAnsi="Calibri" w:cs="Calibri"/>
          <w:sz w:val="40"/>
          <w:szCs w:val="40"/>
        </w:rPr>
        <w:t>антикризисных мер</w:t>
      </w:r>
      <w:r w:rsidRPr="008D6336">
        <w:rPr>
          <w:rFonts w:ascii="Calibri" w:hAnsi="Calibri" w:cs="Calibri"/>
          <w:sz w:val="40"/>
          <w:szCs w:val="40"/>
        </w:rPr>
        <w:t>, возглавляет список</w:t>
      </w:r>
      <w:r w:rsidR="001F6B42" w:rsidRPr="008D6336">
        <w:rPr>
          <w:rFonts w:ascii="Calibri" w:hAnsi="Calibri" w:cs="Calibri"/>
          <w:sz w:val="40"/>
          <w:szCs w:val="40"/>
        </w:rPr>
        <w:t xml:space="preserve"> стран по показателю доли невозвратных кредитов</w:t>
      </w:r>
      <w:r w:rsidRPr="008D6336">
        <w:rPr>
          <w:rFonts w:ascii="Calibri" w:hAnsi="Calibri" w:cs="Calibri"/>
          <w:sz w:val="40"/>
          <w:szCs w:val="40"/>
        </w:rPr>
        <w:t xml:space="preserve"> от общего объема кредитов, в то время как Италия имеет самую большую </w:t>
      </w:r>
      <w:r w:rsidR="001F6B42" w:rsidRPr="008D6336">
        <w:rPr>
          <w:rFonts w:ascii="Calibri" w:hAnsi="Calibri" w:cs="Calibri"/>
          <w:sz w:val="40"/>
          <w:szCs w:val="40"/>
        </w:rPr>
        <w:t>долю</w:t>
      </w:r>
      <w:r w:rsidRPr="008D6336">
        <w:rPr>
          <w:rFonts w:ascii="Calibri" w:hAnsi="Calibri" w:cs="Calibri"/>
          <w:sz w:val="40"/>
          <w:szCs w:val="40"/>
        </w:rPr>
        <w:t xml:space="preserve"> плохих долгов в абсолютном выражении.</w:t>
      </w:r>
    </w:p>
    <w:p w14:paraId="5B10FD26" w14:textId="28CF7183" w:rsidR="00DA3834" w:rsidRPr="008D6336" w:rsidRDefault="00A408B4" w:rsidP="001F6B42">
      <w:pPr>
        <w:widowControl w:val="0"/>
        <w:autoSpaceDE w:val="0"/>
        <w:autoSpaceDN w:val="0"/>
        <w:adjustRightInd w:val="0"/>
        <w:spacing w:line="660" w:lineRule="atLeast"/>
        <w:jc w:val="both"/>
        <w:rPr>
          <w:rFonts w:ascii="Calibri" w:hAnsi="Calibri" w:cs="Calibri"/>
          <w:sz w:val="40"/>
          <w:szCs w:val="40"/>
        </w:rPr>
      </w:pPr>
      <w:r w:rsidRPr="008D6336">
        <w:rPr>
          <w:rFonts w:ascii="Calibri" w:hAnsi="Calibri" w:cs="Calibri"/>
          <w:sz w:val="40"/>
          <w:szCs w:val="40"/>
        </w:rPr>
        <w:t xml:space="preserve">Самый высокий показатель невыплаченных кредитов </w:t>
      </w:r>
      <w:r w:rsidRPr="008D6336">
        <w:rPr>
          <w:rFonts w:ascii="Calibri" w:hAnsi="Calibri" w:cs="Calibri"/>
          <w:sz w:val="40"/>
          <w:szCs w:val="40"/>
          <w:lang w:val="en-US"/>
        </w:rPr>
        <w:t>Q</w:t>
      </w:r>
      <w:r w:rsidRPr="008D6336">
        <w:rPr>
          <w:rFonts w:ascii="Calibri" w:hAnsi="Calibri" w:cs="Calibri"/>
          <w:sz w:val="40"/>
          <w:szCs w:val="40"/>
        </w:rPr>
        <w:t xml:space="preserve">2 имеет Греция, 46,9 процентов, </w:t>
      </w:r>
      <w:r w:rsidR="001F6B42" w:rsidRPr="008D6336">
        <w:rPr>
          <w:rFonts w:ascii="Calibri" w:hAnsi="Calibri" w:cs="Calibri"/>
          <w:sz w:val="40"/>
          <w:szCs w:val="40"/>
        </w:rPr>
        <w:t>при том</w:t>
      </w:r>
      <w:r w:rsidR="00F57B84" w:rsidRPr="008D6336">
        <w:rPr>
          <w:rFonts w:ascii="Calibri" w:hAnsi="Calibri" w:cs="Calibri"/>
          <w:sz w:val="40"/>
          <w:szCs w:val="40"/>
        </w:rPr>
        <w:t xml:space="preserve"> что годом ранее тот же показатель достиг 47,2 процента.</w:t>
      </w:r>
    </w:p>
    <w:p w14:paraId="35CC7ED6" w14:textId="77777777" w:rsidR="00F57B84" w:rsidRPr="008D6336" w:rsidRDefault="00F57B84" w:rsidP="001F6B42">
      <w:pPr>
        <w:widowControl w:val="0"/>
        <w:autoSpaceDE w:val="0"/>
        <w:autoSpaceDN w:val="0"/>
        <w:adjustRightInd w:val="0"/>
        <w:spacing w:line="660" w:lineRule="atLeast"/>
        <w:jc w:val="both"/>
        <w:rPr>
          <w:rFonts w:ascii="Times" w:hAnsi="Times" w:cs="Times"/>
          <w:sz w:val="40"/>
          <w:szCs w:val="40"/>
        </w:rPr>
      </w:pPr>
      <w:r w:rsidRPr="008D6336">
        <w:rPr>
          <w:rFonts w:ascii="Calibri" w:hAnsi="Calibri" w:cs="Calibri"/>
          <w:sz w:val="40"/>
          <w:szCs w:val="40"/>
        </w:rPr>
        <w:t xml:space="preserve">Самый низкий процент невыплаченных кредитов в общем числе одобренных у Люксембурга, всего 0,7 процента, в предыдущем году же было </w:t>
      </w:r>
      <w:r w:rsidR="00896399" w:rsidRPr="008D6336">
        <w:rPr>
          <w:rFonts w:ascii="Calibri" w:hAnsi="Calibri" w:cs="Calibri"/>
          <w:sz w:val="40"/>
          <w:szCs w:val="40"/>
        </w:rPr>
        <w:t>отмече</w:t>
      </w:r>
      <w:r w:rsidRPr="008D6336">
        <w:rPr>
          <w:rFonts w:ascii="Calibri" w:hAnsi="Calibri" w:cs="Calibri"/>
          <w:sz w:val="40"/>
          <w:szCs w:val="40"/>
        </w:rPr>
        <w:t>но 0,9 процента.</w:t>
      </w:r>
    </w:p>
    <w:p w14:paraId="012A9E07" w14:textId="77777777" w:rsidR="00F57B84" w:rsidRDefault="00F57B84">
      <w:pPr>
        <w:rPr>
          <w:sz w:val="40"/>
          <w:szCs w:val="40"/>
        </w:rPr>
      </w:pPr>
      <w:r>
        <w:rPr>
          <w:sz w:val="40"/>
          <w:szCs w:val="40"/>
        </w:rPr>
        <w:br w:type="page"/>
      </w:r>
    </w:p>
    <w:p w14:paraId="5AFD348E" w14:textId="77777777" w:rsidR="00D4510F" w:rsidRPr="008D6336" w:rsidRDefault="004A6148" w:rsidP="004A6148">
      <w:pPr>
        <w:jc w:val="center"/>
        <w:rPr>
          <w:sz w:val="40"/>
          <w:szCs w:val="40"/>
        </w:rPr>
      </w:pPr>
      <w:r w:rsidRPr="008D6336">
        <w:rPr>
          <w:sz w:val="40"/>
          <w:szCs w:val="40"/>
        </w:rPr>
        <w:lastRenderedPageBreak/>
        <w:t xml:space="preserve">Показатели номинальной стоимости </w:t>
      </w:r>
      <w:r w:rsidRPr="008D6336">
        <w:rPr>
          <w:sz w:val="40"/>
          <w:szCs w:val="40"/>
          <w:lang w:val="en-US"/>
        </w:rPr>
        <w:t>NPL</w:t>
      </w:r>
      <w:r w:rsidRPr="008D6336">
        <w:rPr>
          <w:sz w:val="40"/>
          <w:szCs w:val="40"/>
        </w:rPr>
        <w:t xml:space="preserve"> в Европе</w:t>
      </w:r>
    </w:p>
    <w:p w14:paraId="3ED60667" w14:textId="77777777" w:rsidR="004A6148" w:rsidRDefault="004A6148">
      <w:pPr>
        <w:rPr>
          <w:sz w:val="40"/>
          <w:szCs w:val="40"/>
        </w:rPr>
      </w:pPr>
    </w:p>
    <w:p w14:paraId="33C0620E" w14:textId="77777777" w:rsidR="004A6148" w:rsidRDefault="004A6148">
      <w:pPr>
        <w:rPr>
          <w:sz w:val="40"/>
          <w:szCs w:val="40"/>
        </w:rPr>
      </w:pPr>
      <w:r w:rsidRPr="004A6148">
        <w:rPr>
          <w:noProof/>
          <w:sz w:val="40"/>
          <w:szCs w:val="40"/>
          <w:lang w:eastAsia="ru-RU"/>
        </w:rPr>
        <w:drawing>
          <wp:inline distT="0" distB="0" distL="0" distR="0" wp14:anchorId="4BE37A2A" wp14:editId="70D277EB">
            <wp:extent cx="7374277" cy="4525963"/>
            <wp:effectExtent l="0" t="0" r="0" b="0"/>
            <wp:docPr id="1" name="Content Placeholder 3" descr="https://assets.bwbx.io/images/users/iqjWHBFdfxIU/ixJcCWu.PBFI/v1/800x-1.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https://assets.bwbx.io/images/users/iqjWHBFdfxIU/ixJcCWu.PBFI/v1/800x-1.png"/>
                    <pic:cNvPicPr>
                      <a:picLocks noGr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4277" cy="4525963"/>
                    </a:xfrm>
                    <a:prstGeom prst="rect">
                      <a:avLst/>
                    </a:prstGeom>
                    <a:noFill/>
                    <a:ln>
                      <a:noFill/>
                    </a:ln>
                  </pic:spPr>
                </pic:pic>
              </a:graphicData>
            </a:graphic>
          </wp:inline>
        </w:drawing>
      </w:r>
    </w:p>
    <w:p w14:paraId="767E753F" w14:textId="77777777" w:rsidR="004A6148" w:rsidRDefault="004A6148">
      <w:pPr>
        <w:rPr>
          <w:sz w:val="40"/>
          <w:szCs w:val="40"/>
        </w:rPr>
      </w:pPr>
    </w:p>
    <w:p w14:paraId="6C64DAA2" w14:textId="77777777" w:rsidR="004A6148" w:rsidRDefault="004A6148">
      <w:pPr>
        <w:rPr>
          <w:sz w:val="40"/>
          <w:szCs w:val="40"/>
        </w:rPr>
      </w:pPr>
      <w:r>
        <w:rPr>
          <w:sz w:val="40"/>
          <w:szCs w:val="40"/>
        </w:rPr>
        <w:br w:type="page"/>
      </w:r>
    </w:p>
    <w:p w14:paraId="742476A7" w14:textId="77777777" w:rsidR="004A6148" w:rsidRPr="008D6336" w:rsidRDefault="00DA65B9" w:rsidP="00896399">
      <w:pPr>
        <w:jc w:val="center"/>
        <w:rPr>
          <w:sz w:val="44"/>
          <w:szCs w:val="40"/>
          <w:lang w:val="en-US"/>
        </w:rPr>
      </w:pPr>
      <w:r w:rsidRPr="008D6336">
        <w:rPr>
          <w:sz w:val="44"/>
          <w:szCs w:val="40"/>
        </w:rPr>
        <w:lastRenderedPageBreak/>
        <w:t>Европейский</w:t>
      </w:r>
      <w:r w:rsidRPr="008D6336">
        <w:rPr>
          <w:sz w:val="44"/>
          <w:szCs w:val="40"/>
          <w:lang w:val="en-US"/>
        </w:rPr>
        <w:t xml:space="preserve"> </w:t>
      </w:r>
      <w:r w:rsidRPr="008D6336">
        <w:rPr>
          <w:sz w:val="44"/>
          <w:szCs w:val="40"/>
        </w:rPr>
        <w:t>подход</w:t>
      </w:r>
    </w:p>
    <w:p w14:paraId="427E9250" w14:textId="3615E921" w:rsidR="00DA65B9" w:rsidRPr="008D6336" w:rsidRDefault="00DA65B9" w:rsidP="0019568E">
      <w:pPr>
        <w:widowControl w:val="0"/>
        <w:autoSpaceDE w:val="0"/>
        <w:autoSpaceDN w:val="0"/>
        <w:adjustRightInd w:val="0"/>
        <w:spacing w:line="620" w:lineRule="atLeast"/>
        <w:jc w:val="both"/>
        <w:rPr>
          <w:rFonts w:ascii="Calibri" w:hAnsi="Calibri" w:cs="Calibri"/>
          <w:sz w:val="44"/>
          <w:szCs w:val="53"/>
        </w:rPr>
      </w:pPr>
      <w:r w:rsidRPr="008D6336">
        <w:rPr>
          <w:rFonts w:ascii="Arial" w:hAnsi="Arial" w:cs="Arial"/>
          <w:sz w:val="44"/>
          <w:szCs w:val="53"/>
        </w:rPr>
        <w:t>•</w:t>
      </w:r>
      <w:r w:rsidR="0077764C" w:rsidRPr="008D6336">
        <w:rPr>
          <w:sz w:val="18"/>
        </w:rPr>
        <w:t xml:space="preserve"> </w:t>
      </w:r>
      <w:r w:rsidR="0077764C" w:rsidRPr="008D6336">
        <w:rPr>
          <w:rFonts w:ascii="Calibri" w:hAnsi="Calibri" w:cs="Calibri"/>
          <w:sz w:val="44"/>
          <w:szCs w:val="53"/>
        </w:rPr>
        <w:t>У итальянских банков постоянно стоит задача снизить объемы плохих кредитов путем продажи портфелей или сворачивания кредитования. Италия накопила массу неработающих кредитов за многие годы слабого или отсутствующего экономического роста. Проблема усугубляется правовой системой страны, где кредиторам требуется больше времени на ликвидацию залога, чем во многих других странах. В октябре 2017 года Италия пересмотрела свои процедуры банкротства, чтобы сделать их более быстрыми и эффективными.</w:t>
      </w:r>
    </w:p>
    <w:p w14:paraId="71DE451D" w14:textId="77777777" w:rsidR="00756831" w:rsidRPr="008D6336" w:rsidRDefault="00756831" w:rsidP="0019568E">
      <w:pPr>
        <w:widowControl w:val="0"/>
        <w:autoSpaceDE w:val="0"/>
        <w:autoSpaceDN w:val="0"/>
        <w:adjustRightInd w:val="0"/>
        <w:spacing w:line="620" w:lineRule="atLeast"/>
        <w:jc w:val="both"/>
        <w:rPr>
          <w:rFonts w:ascii="Times" w:hAnsi="Times" w:cs="Times"/>
          <w:sz w:val="18"/>
        </w:rPr>
      </w:pPr>
    </w:p>
    <w:p w14:paraId="3507936A" w14:textId="770E5A99" w:rsidR="000F5512" w:rsidRPr="008D6336" w:rsidRDefault="00DA65B9" w:rsidP="00756831">
      <w:pPr>
        <w:widowControl w:val="0"/>
        <w:autoSpaceDE w:val="0"/>
        <w:autoSpaceDN w:val="0"/>
        <w:adjustRightInd w:val="0"/>
        <w:spacing w:line="620" w:lineRule="atLeast"/>
        <w:jc w:val="both"/>
        <w:rPr>
          <w:sz w:val="36"/>
          <w:szCs w:val="40"/>
        </w:rPr>
      </w:pPr>
      <w:r w:rsidRPr="008D6336">
        <w:rPr>
          <w:rFonts w:ascii="Calibri" w:hAnsi="Calibri" w:cs="Calibri"/>
          <w:sz w:val="44"/>
          <w:szCs w:val="53"/>
        </w:rPr>
        <w:t>•</w:t>
      </w:r>
      <w:r w:rsidR="004D3330" w:rsidRPr="008D6336">
        <w:rPr>
          <w:rFonts w:ascii="Calibri" w:hAnsi="Calibri" w:cs="Calibri"/>
          <w:sz w:val="44"/>
          <w:szCs w:val="53"/>
        </w:rPr>
        <w:t>С конца 2014 года европейские банки в целом сократили свои неработающие кредиты более чем на 280 млрд евро. Европейский центральный банк, который контролирует большинство крупных кредиторов блока, говорит, что задолженность по-прежнему является «серьезной проблемой», которую должны решать кредиторы, пока наблюдается экономический рост.</w:t>
      </w:r>
      <w:r w:rsidR="000F5512" w:rsidRPr="008D6336">
        <w:rPr>
          <w:sz w:val="36"/>
          <w:szCs w:val="40"/>
        </w:rPr>
        <w:br w:type="page"/>
      </w:r>
    </w:p>
    <w:p w14:paraId="7EAF1987" w14:textId="77777777" w:rsidR="00DA65B9" w:rsidRDefault="000723D5" w:rsidP="00896399">
      <w:pPr>
        <w:jc w:val="center"/>
        <w:rPr>
          <w:sz w:val="40"/>
          <w:szCs w:val="40"/>
        </w:rPr>
      </w:pPr>
      <w:r w:rsidRPr="00BD4C19">
        <w:rPr>
          <w:sz w:val="40"/>
          <w:szCs w:val="40"/>
        </w:rPr>
        <w:lastRenderedPageBreak/>
        <w:t xml:space="preserve">План регулирования </w:t>
      </w:r>
      <w:r>
        <w:rPr>
          <w:sz w:val="40"/>
          <w:szCs w:val="40"/>
          <w:lang w:val="en-US"/>
        </w:rPr>
        <w:t>NPL</w:t>
      </w:r>
      <w:r w:rsidRPr="00BD4C19">
        <w:rPr>
          <w:sz w:val="40"/>
          <w:szCs w:val="40"/>
        </w:rPr>
        <w:t xml:space="preserve"> </w:t>
      </w:r>
      <w:r w:rsidR="00BD4C19">
        <w:rPr>
          <w:sz w:val="40"/>
          <w:szCs w:val="40"/>
        </w:rPr>
        <w:t xml:space="preserve">в Италии, являющейся членом </w:t>
      </w:r>
      <w:r w:rsidR="00BD4C19">
        <w:rPr>
          <w:sz w:val="40"/>
          <w:szCs w:val="40"/>
          <w:lang w:val="en-US"/>
        </w:rPr>
        <w:t>G</w:t>
      </w:r>
      <w:r w:rsidR="00BD4C19" w:rsidRPr="00BD4C19">
        <w:rPr>
          <w:sz w:val="40"/>
          <w:szCs w:val="40"/>
        </w:rPr>
        <w:t>7</w:t>
      </w:r>
    </w:p>
    <w:p w14:paraId="1E734FF3" w14:textId="77777777" w:rsidR="00E26176" w:rsidRDefault="00E26176" w:rsidP="00896399">
      <w:pPr>
        <w:jc w:val="center"/>
        <w:rPr>
          <w:sz w:val="40"/>
          <w:szCs w:val="40"/>
        </w:rPr>
      </w:pPr>
    </w:p>
    <w:p w14:paraId="48CED327" w14:textId="77777777" w:rsidR="00E26176" w:rsidRDefault="00E26176">
      <w:pPr>
        <w:rPr>
          <w:sz w:val="40"/>
          <w:szCs w:val="40"/>
        </w:rPr>
      </w:pPr>
      <w:r w:rsidRPr="00E26176">
        <w:rPr>
          <w:noProof/>
          <w:sz w:val="40"/>
          <w:szCs w:val="40"/>
          <w:lang w:eastAsia="ru-RU"/>
        </w:rPr>
        <w:drawing>
          <wp:inline distT="0" distB="0" distL="0" distR="0" wp14:anchorId="554F6A55" wp14:editId="62AF1160">
            <wp:extent cx="7620000" cy="4152900"/>
            <wp:effectExtent l="0" t="0" r="0" b="12700"/>
            <wp:docPr id="2" name="Content Placeholder 3" descr="https://assets.bwbx.io/images/users/iqjWHBFdfxIU/iO3gh1ihpn8o/v1/800x-1.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https://assets.bwbx.io/images/users/iqjWHBFdfxIU/iO3gh1ihpn8o/v1/800x-1.png"/>
                    <pic:cNvPicPr>
                      <a:picLocks noGr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4152900"/>
                    </a:xfrm>
                    <a:prstGeom prst="rect">
                      <a:avLst/>
                    </a:prstGeom>
                    <a:noFill/>
                    <a:ln>
                      <a:noFill/>
                    </a:ln>
                  </pic:spPr>
                </pic:pic>
              </a:graphicData>
            </a:graphic>
          </wp:inline>
        </w:drawing>
      </w:r>
    </w:p>
    <w:p w14:paraId="418749A6" w14:textId="77777777" w:rsidR="00E26176" w:rsidRDefault="00E26176">
      <w:pPr>
        <w:rPr>
          <w:sz w:val="40"/>
          <w:szCs w:val="40"/>
        </w:rPr>
      </w:pPr>
    </w:p>
    <w:p w14:paraId="7E212DE8" w14:textId="77777777" w:rsidR="00E26176" w:rsidRDefault="00E26176">
      <w:pPr>
        <w:rPr>
          <w:sz w:val="40"/>
          <w:szCs w:val="40"/>
        </w:rPr>
      </w:pPr>
      <w:r>
        <w:rPr>
          <w:sz w:val="40"/>
          <w:szCs w:val="40"/>
        </w:rPr>
        <w:br w:type="page"/>
      </w:r>
    </w:p>
    <w:p w14:paraId="59EB1DDB" w14:textId="77777777" w:rsidR="00E26176" w:rsidRPr="008D6336" w:rsidRDefault="00A2705C" w:rsidP="00896399">
      <w:pPr>
        <w:jc w:val="center"/>
        <w:rPr>
          <w:sz w:val="40"/>
          <w:szCs w:val="40"/>
        </w:rPr>
      </w:pPr>
      <w:r w:rsidRPr="008D6336">
        <w:rPr>
          <w:sz w:val="40"/>
          <w:szCs w:val="40"/>
        </w:rPr>
        <w:lastRenderedPageBreak/>
        <w:t>Меры, предложенные Европейской комиссией</w:t>
      </w:r>
    </w:p>
    <w:p w14:paraId="2BE54F13" w14:textId="77777777" w:rsidR="00896399" w:rsidRPr="008D6336" w:rsidRDefault="00896399" w:rsidP="00896399">
      <w:pPr>
        <w:jc w:val="center"/>
        <w:rPr>
          <w:szCs w:val="40"/>
        </w:rPr>
      </w:pPr>
    </w:p>
    <w:p w14:paraId="79FF9E22" w14:textId="4F79DB0A" w:rsidR="00524149" w:rsidRPr="008D6336" w:rsidRDefault="00524149" w:rsidP="00524149">
      <w:pPr>
        <w:pStyle w:val="a3"/>
        <w:jc w:val="both"/>
        <w:rPr>
          <w:b/>
          <w:sz w:val="32"/>
          <w:szCs w:val="32"/>
        </w:rPr>
      </w:pPr>
      <w:r w:rsidRPr="008D6336">
        <w:rPr>
          <w:b/>
          <w:sz w:val="32"/>
          <w:szCs w:val="32"/>
        </w:rPr>
        <w:t>В марте 2018 года Европейская комиссия предложила комплексный пакет мер по сокращению доли неработающих кредитов, котор</w:t>
      </w:r>
      <w:r w:rsidR="0029451B" w:rsidRPr="008D6336">
        <w:rPr>
          <w:b/>
          <w:sz w:val="32"/>
          <w:szCs w:val="32"/>
        </w:rPr>
        <w:t>ый</w:t>
      </w:r>
      <w:r w:rsidRPr="008D6336">
        <w:rPr>
          <w:b/>
          <w:sz w:val="32"/>
          <w:szCs w:val="32"/>
        </w:rPr>
        <w:t xml:space="preserve"> состоит из следующих рекомендаций:</w:t>
      </w:r>
    </w:p>
    <w:p w14:paraId="2F004388" w14:textId="77777777" w:rsidR="00524149" w:rsidRPr="008D6336" w:rsidRDefault="00524149" w:rsidP="00524149">
      <w:pPr>
        <w:pStyle w:val="a3"/>
        <w:jc w:val="both"/>
        <w:rPr>
          <w:b/>
          <w:sz w:val="28"/>
          <w:szCs w:val="32"/>
        </w:rPr>
      </w:pPr>
    </w:p>
    <w:p w14:paraId="747F4008" w14:textId="444029DB" w:rsidR="009F0101" w:rsidRPr="008D6336" w:rsidRDefault="009C11BB" w:rsidP="00524149">
      <w:pPr>
        <w:pStyle w:val="a3"/>
        <w:numPr>
          <w:ilvl w:val="0"/>
          <w:numId w:val="7"/>
        </w:numPr>
        <w:jc w:val="both"/>
        <w:rPr>
          <w:sz w:val="32"/>
          <w:szCs w:val="40"/>
        </w:rPr>
      </w:pPr>
      <w:r w:rsidRPr="008D6336">
        <w:rPr>
          <w:sz w:val="32"/>
          <w:szCs w:val="40"/>
        </w:rPr>
        <w:t>Организация работы</w:t>
      </w:r>
      <w:r w:rsidR="009F0101" w:rsidRPr="008D6336">
        <w:rPr>
          <w:sz w:val="32"/>
          <w:szCs w:val="40"/>
        </w:rPr>
        <w:t xml:space="preserve"> </w:t>
      </w:r>
      <w:r w:rsidRPr="008D6336">
        <w:rPr>
          <w:sz w:val="32"/>
          <w:szCs w:val="40"/>
        </w:rPr>
        <w:t>компаний</w:t>
      </w:r>
      <w:r w:rsidR="00C06A6E" w:rsidRPr="008D6336">
        <w:rPr>
          <w:sz w:val="32"/>
          <w:szCs w:val="40"/>
        </w:rPr>
        <w:t xml:space="preserve"> по управлению выкупленным активами</w:t>
      </w:r>
      <w:r w:rsidR="009F0101" w:rsidRPr="008D6336">
        <w:rPr>
          <w:sz w:val="32"/>
          <w:szCs w:val="40"/>
        </w:rPr>
        <w:t xml:space="preserve"> (</w:t>
      </w:r>
      <w:proofErr w:type="spellStart"/>
      <w:r w:rsidR="009F0101" w:rsidRPr="008D6336">
        <w:rPr>
          <w:rFonts w:ascii="Calibri" w:hAnsi="Calibri" w:cs="Calibri"/>
          <w:sz w:val="32"/>
          <w:szCs w:val="40"/>
        </w:rPr>
        <w:t>Asset</w:t>
      </w:r>
      <w:proofErr w:type="spellEnd"/>
      <w:r w:rsidR="009F0101" w:rsidRPr="008D6336">
        <w:rPr>
          <w:rFonts w:ascii="Calibri" w:hAnsi="Calibri" w:cs="Calibri"/>
          <w:sz w:val="32"/>
          <w:szCs w:val="40"/>
        </w:rPr>
        <w:t xml:space="preserve"> Management </w:t>
      </w:r>
      <w:proofErr w:type="spellStart"/>
      <w:r w:rsidR="009F0101" w:rsidRPr="008D6336">
        <w:rPr>
          <w:rFonts w:ascii="Calibri" w:hAnsi="Calibri" w:cs="Calibri"/>
          <w:sz w:val="32"/>
          <w:szCs w:val="40"/>
        </w:rPr>
        <w:t>Companies</w:t>
      </w:r>
      <w:proofErr w:type="spellEnd"/>
      <w:r w:rsidR="009F0101" w:rsidRPr="008D6336">
        <w:rPr>
          <w:rFonts w:ascii="Calibri" w:hAnsi="Calibri" w:cs="Calibri"/>
          <w:sz w:val="32"/>
          <w:szCs w:val="40"/>
        </w:rPr>
        <w:t xml:space="preserve">-AMC) в соответствии с существующими банковскими нормативами и </w:t>
      </w:r>
      <w:r w:rsidR="00C06A6E" w:rsidRPr="008D6336">
        <w:rPr>
          <w:sz w:val="32"/>
          <w:szCs w:val="40"/>
        </w:rPr>
        <w:t>передовой практикой стран-членов ЕС</w:t>
      </w:r>
      <w:r w:rsidR="009F0101" w:rsidRPr="008D6336">
        <w:rPr>
          <w:rFonts w:ascii="Calibri" w:hAnsi="Calibri" w:cs="Calibri"/>
          <w:sz w:val="32"/>
          <w:szCs w:val="40"/>
        </w:rPr>
        <w:t xml:space="preserve">. </w:t>
      </w:r>
      <w:r w:rsidR="00C06A6E" w:rsidRPr="008D6336">
        <w:rPr>
          <w:sz w:val="32"/>
          <w:szCs w:val="40"/>
        </w:rPr>
        <w:t xml:space="preserve">Этот тип передачи портфелей в AMC </w:t>
      </w:r>
      <w:r w:rsidR="009F0101" w:rsidRPr="008D6336">
        <w:rPr>
          <w:rFonts w:ascii="Calibri" w:hAnsi="Calibri" w:cs="Calibri"/>
          <w:sz w:val="32"/>
          <w:szCs w:val="40"/>
        </w:rPr>
        <w:t>дает возможность ба</w:t>
      </w:r>
      <w:r w:rsidR="003C633D" w:rsidRPr="008D6336">
        <w:rPr>
          <w:rFonts w:ascii="Calibri" w:hAnsi="Calibri" w:cs="Calibri"/>
          <w:sz w:val="32"/>
          <w:szCs w:val="40"/>
        </w:rPr>
        <w:t>нкам сфокусироваться на основной</w:t>
      </w:r>
      <w:r w:rsidR="009F0101" w:rsidRPr="008D6336">
        <w:rPr>
          <w:rFonts w:ascii="Calibri" w:hAnsi="Calibri" w:cs="Calibri"/>
          <w:sz w:val="32"/>
          <w:szCs w:val="40"/>
        </w:rPr>
        <w:t xml:space="preserve"> р</w:t>
      </w:r>
      <w:r w:rsidR="003C633D" w:rsidRPr="008D6336">
        <w:rPr>
          <w:rFonts w:ascii="Calibri" w:hAnsi="Calibri" w:cs="Calibri"/>
          <w:sz w:val="32"/>
          <w:szCs w:val="40"/>
        </w:rPr>
        <w:t xml:space="preserve">аботе </w:t>
      </w:r>
      <w:r w:rsidR="009F0101" w:rsidRPr="008D6336">
        <w:rPr>
          <w:rFonts w:ascii="Calibri" w:hAnsi="Calibri" w:cs="Calibri"/>
          <w:sz w:val="32"/>
          <w:szCs w:val="40"/>
        </w:rPr>
        <w:t>по кредитованию и предложения банковских услуг клиентам.</w:t>
      </w:r>
    </w:p>
    <w:p w14:paraId="50C879C7" w14:textId="12FEDD3F" w:rsidR="009F0101" w:rsidRPr="008D6336" w:rsidRDefault="003A5D63" w:rsidP="00524149">
      <w:pPr>
        <w:pStyle w:val="a3"/>
        <w:numPr>
          <w:ilvl w:val="0"/>
          <w:numId w:val="7"/>
        </w:numPr>
        <w:jc w:val="both"/>
        <w:rPr>
          <w:sz w:val="32"/>
          <w:szCs w:val="40"/>
        </w:rPr>
      </w:pPr>
      <w:r w:rsidRPr="008D6336">
        <w:rPr>
          <w:sz w:val="32"/>
          <w:szCs w:val="40"/>
        </w:rPr>
        <w:t xml:space="preserve">Развитие вторичного рынка </w:t>
      </w:r>
      <w:r w:rsidR="009F0101" w:rsidRPr="008D6336">
        <w:rPr>
          <w:sz w:val="32"/>
          <w:szCs w:val="40"/>
          <w:lang w:val="en-US"/>
        </w:rPr>
        <w:t>NPL</w:t>
      </w:r>
      <w:r w:rsidR="006E619E" w:rsidRPr="008D6336">
        <w:rPr>
          <w:sz w:val="32"/>
          <w:szCs w:val="40"/>
        </w:rPr>
        <w:t xml:space="preserve"> </w:t>
      </w:r>
      <w:r w:rsidR="006E619E" w:rsidRPr="008D6336">
        <w:rPr>
          <w:sz w:val="32"/>
          <w:szCs w:val="40"/>
        </w:rPr>
        <w:t>с упором на устранение ненужных барьеров для обслуживания кредитов и передачи кредитов третьим сторонам</w:t>
      </w:r>
      <w:r w:rsidRPr="008D6336">
        <w:rPr>
          <w:sz w:val="32"/>
          <w:szCs w:val="40"/>
        </w:rPr>
        <w:t>.</w:t>
      </w:r>
      <w:r w:rsidR="00216502" w:rsidRPr="008D6336">
        <w:rPr>
          <w:sz w:val="32"/>
          <w:szCs w:val="40"/>
        </w:rPr>
        <w:t xml:space="preserve"> </w:t>
      </w:r>
    </w:p>
    <w:p w14:paraId="35F49F56" w14:textId="6D43CED9" w:rsidR="00833098" w:rsidRPr="008D6336" w:rsidRDefault="00833098" w:rsidP="009C11BB">
      <w:pPr>
        <w:pStyle w:val="a3"/>
        <w:numPr>
          <w:ilvl w:val="0"/>
          <w:numId w:val="7"/>
        </w:numPr>
        <w:jc w:val="both"/>
        <w:rPr>
          <w:sz w:val="32"/>
          <w:szCs w:val="40"/>
        </w:rPr>
      </w:pPr>
      <w:r w:rsidRPr="008D6336">
        <w:rPr>
          <w:sz w:val="32"/>
          <w:szCs w:val="40"/>
        </w:rPr>
        <w:t xml:space="preserve">Меры повышения степени защиты </w:t>
      </w:r>
      <w:r w:rsidR="0021704A" w:rsidRPr="008D6336">
        <w:rPr>
          <w:sz w:val="32"/>
          <w:szCs w:val="40"/>
        </w:rPr>
        <w:t xml:space="preserve">кредиторов </w:t>
      </w:r>
      <w:r w:rsidR="00A506FC" w:rsidRPr="008D6336">
        <w:rPr>
          <w:sz w:val="32"/>
          <w:szCs w:val="40"/>
        </w:rPr>
        <w:t xml:space="preserve">путем предоставления им более эффективных методов </w:t>
      </w:r>
      <w:r w:rsidR="00A506FC" w:rsidRPr="008D6336">
        <w:rPr>
          <w:sz w:val="32"/>
          <w:szCs w:val="40"/>
        </w:rPr>
        <w:t>взыскание</w:t>
      </w:r>
      <w:r w:rsidR="008229CA" w:rsidRPr="008D6336">
        <w:rPr>
          <w:sz w:val="32"/>
          <w:szCs w:val="40"/>
        </w:rPr>
        <w:t xml:space="preserve"> долга, </w:t>
      </w:r>
      <w:r w:rsidR="00A506FC" w:rsidRPr="008D6336">
        <w:rPr>
          <w:sz w:val="32"/>
          <w:szCs w:val="40"/>
        </w:rPr>
        <w:t xml:space="preserve">возмещения экономической стоимости обеспеченных кредитов посредством </w:t>
      </w:r>
      <w:r w:rsidR="007874A5" w:rsidRPr="008D6336">
        <w:rPr>
          <w:sz w:val="32"/>
          <w:szCs w:val="40"/>
        </w:rPr>
        <w:t xml:space="preserve">ускоренной внесудебной процедуры </w:t>
      </w:r>
      <w:r w:rsidR="007874A5" w:rsidRPr="008D6336">
        <w:rPr>
          <w:rFonts w:ascii="Calibri" w:hAnsi="Calibri" w:cs="Calibri"/>
          <w:sz w:val="32"/>
          <w:szCs w:val="40"/>
        </w:rPr>
        <w:t>(</w:t>
      </w:r>
      <w:proofErr w:type="spellStart"/>
      <w:r w:rsidR="007874A5" w:rsidRPr="008D6336">
        <w:rPr>
          <w:rFonts w:ascii="Calibri" w:hAnsi="Calibri" w:cs="Calibri"/>
          <w:sz w:val="32"/>
          <w:szCs w:val="40"/>
        </w:rPr>
        <w:t>Accelerated</w:t>
      </w:r>
      <w:proofErr w:type="spellEnd"/>
      <w:r w:rsidR="007874A5" w:rsidRPr="008D6336">
        <w:rPr>
          <w:rFonts w:ascii="Calibri" w:hAnsi="Calibri" w:cs="Calibri"/>
          <w:sz w:val="32"/>
          <w:szCs w:val="40"/>
        </w:rPr>
        <w:t xml:space="preserve"> </w:t>
      </w:r>
      <w:proofErr w:type="spellStart"/>
      <w:r w:rsidR="007874A5" w:rsidRPr="008D6336">
        <w:rPr>
          <w:rFonts w:ascii="Calibri" w:hAnsi="Calibri" w:cs="Calibri"/>
          <w:sz w:val="32"/>
          <w:szCs w:val="40"/>
        </w:rPr>
        <w:t>Extrajudicial</w:t>
      </w:r>
      <w:proofErr w:type="spellEnd"/>
      <w:r w:rsidR="007874A5" w:rsidRPr="008D6336">
        <w:rPr>
          <w:rFonts w:ascii="Calibri" w:hAnsi="Calibri" w:cs="Calibri"/>
          <w:sz w:val="32"/>
          <w:szCs w:val="40"/>
        </w:rPr>
        <w:t xml:space="preserve"> </w:t>
      </w:r>
      <w:proofErr w:type="spellStart"/>
      <w:r w:rsidR="007874A5" w:rsidRPr="008D6336">
        <w:rPr>
          <w:rFonts w:ascii="Calibri" w:hAnsi="Calibri" w:cs="Calibri"/>
          <w:sz w:val="32"/>
          <w:szCs w:val="40"/>
        </w:rPr>
        <w:t>Collateral</w:t>
      </w:r>
      <w:proofErr w:type="spellEnd"/>
      <w:r w:rsidR="007874A5" w:rsidRPr="008D6336">
        <w:rPr>
          <w:rFonts w:ascii="Calibri" w:hAnsi="Calibri" w:cs="Calibri"/>
          <w:sz w:val="32"/>
          <w:szCs w:val="40"/>
        </w:rPr>
        <w:t xml:space="preserve"> </w:t>
      </w:r>
      <w:proofErr w:type="spellStart"/>
      <w:r w:rsidR="007874A5" w:rsidRPr="008D6336">
        <w:rPr>
          <w:rFonts w:ascii="Calibri" w:hAnsi="Calibri" w:cs="Calibri"/>
          <w:sz w:val="32"/>
          <w:szCs w:val="40"/>
        </w:rPr>
        <w:t>Enforcement</w:t>
      </w:r>
      <w:proofErr w:type="spellEnd"/>
      <w:r w:rsidR="007874A5" w:rsidRPr="008D6336">
        <w:rPr>
          <w:rFonts w:ascii="Calibri" w:hAnsi="Calibri" w:cs="Calibri"/>
          <w:sz w:val="32"/>
          <w:szCs w:val="40"/>
        </w:rPr>
        <w:t>- AECE)</w:t>
      </w:r>
      <w:r w:rsidR="007874A5" w:rsidRPr="008D6336">
        <w:rPr>
          <w:sz w:val="32"/>
          <w:szCs w:val="40"/>
        </w:rPr>
        <w:t>. Это относится к срочным и эффективным внесудебным решениям,</w:t>
      </w:r>
      <w:r w:rsidR="007A4482" w:rsidRPr="008D6336">
        <w:rPr>
          <w:sz w:val="32"/>
          <w:szCs w:val="40"/>
        </w:rPr>
        <w:t xml:space="preserve"> </w:t>
      </w:r>
      <w:r w:rsidR="007874A5" w:rsidRPr="008D6336">
        <w:rPr>
          <w:sz w:val="32"/>
          <w:szCs w:val="40"/>
        </w:rPr>
        <w:t xml:space="preserve">которые </w:t>
      </w:r>
      <w:r w:rsidR="00E12869" w:rsidRPr="008D6336">
        <w:rPr>
          <w:sz w:val="32"/>
          <w:szCs w:val="40"/>
        </w:rPr>
        <w:t>позволяют</w:t>
      </w:r>
      <w:r w:rsidR="007874A5" w:rsidRPr="008D6336">
        <w:rPr>
          <w:sz w:val="32"/>
          <w:szCs w:val="40"/>
        </w:rPr>
        <w:t xml:space="preserve"> </w:t>
      </w:r>
      <w:r w:rsidR="007A4482" w:rsidRPr="008D6336">
        <w:rPr>
          <w:sz w:val="32"/>
          <w:szCs w:val="40"/>
        </w:rPr>
        <w:t>защищенным кредиторам</w:t>
      </w:r>
      <w:r w:rsidR="00F52CD5" w:rsidRPr="008D6336">
        <w:rPr>
          <w:sz w:val="32"/>
          <w:szCs w:val="40"/>
        </w:rPr>
        <w:t xml:space="preserve"> </w:t>
      </w:r>
      <w:r w:rsidR="009C11BB" w:rsidRPr="008D6336">
        <w:rPr>
          <w:sz w:val="32"/>
          <w:szCs w:val="40"/>
        </w:rPr>
        <w:t xml:space="preserve">взыскать </w:t>
      </w:r>
      <w:r w:rsidR="009C11BB" w:rsidRPr="008D6336">
        <w:rPr>
          <w:sz w:val="32"/>
          <w:szCs w:val="40"/>
        </w:rPr>
        <w:t>дебиторскую задолженность</w:t>
      </w:r>
      <w:r w:rsidR="009C11BB" w:rsidRPr="008D6336">
        <w:rPr>
          <w:sz w:val="32"/>
          <w:szCs w:val="40"/>
        </w:rPr>
        <w:t xml:space="preserve"> через</w:t>
      </w:r>
      <w:r w:rsidR="00F52CD5" w:rsidRPr="008D6336">
        <w:rPr>
          <w:sz w:val="32"/>
          <w:szCs w:val="40"/>
        </w:rPr>
        <w:t xml:space="preserve"> </w:t>
      </w:r>
      <w:r w:rsidR="009C11BB" w:rsidRPr="008D6336">
        <w:rPr>
          <w:sz w:val="32"/>
          <w:szCs w:val="40"/>
        </w:rPr>
        <w:t>предоставленное обеспечение</w:t>
      </w:r>
      <w:r w:rsidR="00F52CD5" w:rsidRPr="008D6336">
        <w:rPr>
          <w:sz w:val="32"/>
          <w:szCs w:val="40"/>
        </w:rPr>
        <w:t xml:space="preserve">, </w:t>
      </w:r>
      <w:r w:rsidR="009C11BB" w:rsidRPr="008D6336">
        <w:rPr>
          <w:sz w:val="32"/>
          <w:szCs w:val="40"/>
        </w:rPr>
        <w:t xml:space="preserve">заложенное в качестве обеспечения части займа </w:t>
      </w:r>
      <w:r w:rsidR="00F52CD5" w:rsidRPr="008D6336">
        <w:rPr>
          <w:sz w:val="32"/>
          <w:szCs w:val="40"/>
        </w:rPr>
        <w:t>в соответствии с законом.</w:t>
      </w:r>
    </w:p>
    <w:p w14:paraId="04916A22" w14:textId="4DED503F" w:rsidR="00F52CD5" w:rsidRPr="008D6336" w:rsidRDefault="007D274B" w:rsidP="00524149">
      <w:pPr>
        <w:pStyle w:val="a3"/>
        <w:numPr>
          <w:ilvl w:val="0"/>
          <w:numId w:val="7"/>
        </w:numPr>
        <w:jc w:val="both"/>
        <w:rPr>
          <w:sz w:val="32"/>
          <w:szCs w:val="40"/>
        </w:rPr>
      </w:pPr>
      <w:r w:rsidRPr="008D6336">
        <w:rPr>
          <w:sz w:val="32"/>
          <w:szCs w:val="40"/>
        </w:rPr>
        <w:t xml:space="preserve">Ввести </w:t>
      </w:r>
      <w:r w:rsidR="004B05C5" w:rsidRPr="008D6336">
        <w:rPr>
          <w:sz w:val="32"/>
          <w:szCs w:val="40"/>
        </w:rPr>
        <w:t xml:space="preserve">правовые </w:t>
      </w:r>
      <w:proofErr w:type="spellStart"/>
      <w:r w:rsidR="004B05C5" w:rsidRPr="008D6336">
        <w:rPr>
          <w:sz w:val="32"/>
          <w:szCs w:val="40"/>
        </w:rPr>
        <w:t>пруденциальные</w:t>
      </w:r>
      <w:proofErr w:type="spellEnd"/>
      <w:r w:rsidR="004B05C5" w:rsidRPr="008D6336">
        <w:rPr>
          <w:sz w:val="32"/>
          <w:szCs w:val="40"/>
        </w:rPr>
        <w:t xml:space="preserve"> процедуры</w:t>
      </w:r>
      <w:r w:rsidR="004B05C5" w:rsidRPr="008D6336">
        <w:rPr>
          <w:sz w:val="32"/>
          <w:szCs w:val="40"/>
        </w:rPr>
        <w:t xml:space="preserve"> </w:t>
      </w:r>
      <w:r w:rsidR="00091570" w:rsidRPr="008D6336">
        <w:rPr>
          <w:sz w:val="32"/>
          <w:szCs w:val="40"/>
        </w:rPr>
        <w:t xml:space="preserve">с целью снижения риска некорректного </w:t>
      </w:r>
      <w:r w:rsidR="004B05C5" w:rsidRPr="008D6336">
        <w:rPr>
          <w:sz w:val="32"/>
          <w:szCs w:val="40"/>
        </w:rPr>
        <w:t>формирования резервов по</w:t>
      </w:r>
      <w:r w:rsidR="00091570" w:rsidRPr="008D6336">
        <w:rPr>
          <w:sz w:val="32"/>
          <w:szCs w:val="40"/>
        </w:rPr>
        <w:t xml:space="preserve"> </w:t>
      </w:r>
      <w:r w:rsidR="004B05C5" w:rsidRPr="008D6336">
        <w:rPr>
          <w:sz w:val="32"/>
          <w:szCs w:val="40"/>
        </w:rPr>
        <w:t>проблемным</w:t>
      </w:r>
      <w:r w:rsidR="00091570" w:rsidRPr="008D6336">
        <w:rPr>
          <w:sz w:val="32"/>
          <w:szCs w:val="40"/>
        </w:rPr>
        <w:t xml:space="preserve"> кредит</w:t>
      </w:r>
      <w:r w:rsidR="004B05C5" w:rsidRPr="008D6336">
        <w:rPr>
          <w:sz w:val="32"/>
          <w:szCs w:val="40"/>
        </w:rPr>
        <w:t>ам</w:t>
      </w:r>
      <w:r w:rsidR="00091570" w:rsidRPr="008D6336">
        <w:rPr>
          <w:sz w:val="32"/>
          <w:szCs w:val="40"/>
        </w:rPr>
        <w:t>.</w:t>
      </w:r>
      <w:r w:rsidR="00BE7232" w:rsidRPr="008D6336">
        <w:rPr>
          <w:sz w:val="32"/>
          <w:szCs w:val="40"/>
        </w:rPr>
        <w:t xml:space="preserve"> В данном контексте, Европейская комиссия </w:t>
      </w:r>
      <w:r w:rsidR="00121919" w:rsidRPr="008D6336">
        <w:rPr>
          <w:sz w:val="32"/>
          <w:szCs w:val="40"/>
        </w:rPr>
        <w:t>также рассмотрела вопрос о внедрении</w:t>
      </w:r>
      <w:r w:rsidR="00BE7232" w:rsidRPr="008D6336">
        <w:rPr>
          <w:sz w:val="32"/>
          <w:szCs w:val="40"/>
        </w:rPr>
        <w:t xml:space="preserve"> </w:t>
      </w:r>
      <w:r w:rsidR="00493169" w:rsidRPr="008D6336">
        <w:rPr>
          <w:sz w:val="32"/>
          <w:szCs w:val="40"/>
        </w:rPr>
        <w:t>по</w:t>
      </w:r>
      <w:r w:rsidR="00495C2F">
        <w:rPr>
          <w:sz w:val="32"/>
          <w:szCs w:val="40"/>
        </w:rPr>
        <w:t>н</w:t>
      </w:r>
      <w:r w:rsidR="00493169" w:rsidRPr="008D6336">
        <w:rPr>
          <w:sz w:val="32"/>
          <w:szCs w:val="40"/>
        </w:rPr>
        <w:t>ятия «неэффективное кредитное требование»</w:t>
      </w:r>
      <w:r w:rsidR="00BE7232" w:rsidRPr="008D6336">
        <w:rPr>
          <w:sz w:val="32"/>
          <w:szCs w:val="40"/>
        </w:rPr>
        <w:t xml:space="preserve"> </w:t>
      </w:r>
      <w:r w:rsidR="00BE7232" w:rsidRPr="008D6336">
        <w:rPr>
          <w:rFonts w:ascii="Calibri" w:hAnsi="Calibri" w:cs="Calibri"/>
          <w:sz w:val="32"/>
          <w:szCs w:val="40"/>
        </w:rPr>
        <w:t>(</w:t>
      </w:r>
      <w:r w:rsidR="00BE7232" w:rsidRPr="008D6336">
        <w:rPr>
          <w:rFonts w:ascii="Calibri" w:hAnsi="Calibri" w:cs="Calibri"/>
          <w:sz w:val="32"/>
          <w:szCs w:val="40"/>
          <w:lang w:val="en-US"/>
        </w:rPr>
        <w:t>Non</w:t>
      </w:r>
      <w:r w:rsidR="00BE7232" w:rsidRPr="008D6336">
        <w:rPr>
          <w:rFonts w:ascii="Calibri" w:hAnsi="Calibri" w:cs="Calibri"/>
          <w:sz w:val="32"/>
          <w:szCs w:val="40"/>
        </w:rPr>
        <w:t xml:space="preserve"> </w:t>
      </w:r>
      <w:r w:rsidR="00BE7232" w:rsidRPr="008D6336">
        <w:rPr>
          <w:rFonts w:ascii="Calibri" w:hAnsi="Calibri" w:cs="Calibri"/>
          <w:sz w:val="32"/>
          <w:szCs w:val="40"/>
          <w:lang w:val="en-US"/>
        </w:rPr>
        <w:t>Performing</w:t>
      </w:r>
      <w:r w:rsidR="00BE7232" w:rsidRPr="008D6336">
        <w:rPr>
          <w:rFonts w:ascii="Calibri" w:hAnsi="Calibri" w:cs="Calibri"/>
          <w:sz w:val="32"/>
          <w:szCs w:val="40"/>
        </w:rPr>
        <w:t xml:space="preserve"> </w:t>
      </w:r>
      <w:r w:rsidR="00BE7232" w:rsidRPr="008D6336">
        <w:rPr>
          <w:rFonts w:ascii="Calibri" w:hAnsi="Calibri" w:cs="Calibri"/>
          <w:sz w:val="32"/>
          <w:szCs w:val="40"/>
          <w:lang w:val="en-US"/>
        </w:rPr>
        <w:t>Exposures</w:t>
      </w:r>
      <w:r w:rsidR="00BE7232" w:rsidRPr="008D6336">
        <w:rPr>
          <w:rFonts w:ascii="Calibri" w:hAnsi="Calibri" w:cs="Calibri"/>
          <w:sz w:val="32"/>
          <w:szCs w:val="40"/>
        </w:rPr>
        <w:t xml:space="preserve"> – </w:t>
      </w:r>
      <w:r w:rsidR="00BE7232" w:rsidRPr="008D6336">
        <w:rPr>
          <w:rFonts w:ascii="Calibri" w:hAnsi="Calibri" w:cs="Calibri"/>
          <w:sz w:val="32"/>
          <w:szCs w:val="40"/>
          <w:lang w:val="en-US"/>
        </w:rPr>
        <w:t>NPE</w:t>
      </w:r>
      <w:r w:rsidR="00BE7232" w:rsidRPr="008D6336">
        <w:rPr>
          <w:rFonts w:ascii="Calibri" w:hAnsi="Calibri" w:cs="Calibri"/>
          <w:sz w:val="32"/>
          <w:szCs w:val="40"/>
        </w:rPr>
        <w:t xml:space="preserve">), </w:t>
      </w:r>
      <w:r w:rsidR="00493169" w:rsidRPr="008D6336">
        <w:rPr>
          <w:rFonts w:ascii="Calibri" w:hAnsi="Calibri" w:cs="Calibri"/>
          <w:sz w:val="32"/>
          <w:szCs w:val="40"/>
        </w:rPr>
        <w:t>которое</w:t>
      </w:r>
      <w:r w:rsidR="00BE7232" w:rsidRPr="008D6336">
        <w:rPr>
          <w:rFonts w:ascii="Calibri" w:hAnsi="Calibri" w:cs="Calibri"/>
          <w:sz w:val="32"/>
          <w:szCs w:val="40"/>
        </w:rPr>
        <w:t xml:space="preserve"> </w:t>
      </w:r>
      <w:r w:rsidR="00493169" w:rsidRPr="008D6336">
        <w:rPr>
          <w:sz w:val="32"/>
          <w:szCs w:val="40"/>
        </w:rPr>
        <w:t>будет отличаться от существующего определения в надзорных отчетах</w:t>
      </w:r>
      <w:r w:rsidR="00BE7232" w:rsidRPr="008D6336">
        <w:rPr>
          <w:rFonts w:ascii="Calibri" w:hAnsi="Calibri" w:cs="Calibri"/>
          <w:sz w:val="32"/>
          <w:szCs w:val="40"/>
        </w:rPr>
        <w:t>.</w:t>
      </w:r>
      <w:bookmarkStart w:id="0" w:name="_GoBack"/>
      <w:bookmarkEnd w:id="0"/>
    </w:p>
    <w:p w14:paraId="785A60DB" w14:textId="60345F71" w:rsidR="000E08F7" w:rsidRPr="008D6336" w:rsidRDefault="00493169" w:rsidP="00817095">
      <w:pPr>
        <w:pStyle w:val="a3"/>
        <w:numPr>
          <w:ilvl w:val="0"/>
          <w:numId w:val="7"/>
        </w:numPr>
        <w:jc w:val="both"/>
        <w:rPr>
          <w:sz w:val="40"/>
          <w:szCs w:val="40"/>
        </w:rPr>
      </w:pPr>
      <w:r w:rsidRPr="008D6336">
        <w:rPr>
          <w:sz w:val="32"/>
          <w:szCs w:val="40"/>
        </w:rPr>
        <w:t>Увеличить в будущем</w:t>
      </w:r>
      <w:r w:rsidR="00BE4CED" w:rsidRPr="008D6336">
        <w:rPr>
          <w:sz w:val="32"/>
          <w:szCs w:val="40"/>
        </w:rPr>
        <w:t xml:space="preserve"> </w:t>
      </w:r>
      <w:r w:rsidR="000E08F7" w:rsidRPr="008D6336">
        <w:rPr>
          <w:sz w:val="32"/>
          <w:szCs w:val="40"/>
        </w:rPr>
        <w:t>прозрачность</w:t>
      </w:r>
      <w:r w:rsidR="00574A44" w:rsidRPr="008D6336">
        <w:rPr>
          <w:sz w:val="32"/>
          <w:szCs w:val="40"/>
        </w:rPr>
        <w:t xml:space="preserve"> </w:t>
      </w:r>
      <w:r w:rsidR="004C61D2" w:rsidRPr="008D6336">
        <w:rPr>
          <w:sz w:val="32"/>
          <w:szCs w:val="40"/>
        </w:rPr>
        <w:t xml:space="preserve">в сфере </w:t>
      </w:r>
      <w:r w:rsidR="004C61D2" w:rsidRPr="008D6336">
        <w:rPr>
          <w:sz w:val="32"/>
          <w:szCs w:val="40"/>
          <w:lang w:val="en-US"/>
        </w:rPr>
        <w:t>NPL</w:t>
      </w:r>
      <w:r w:rsidR="004C61D2" w:rsidRPr="008D6336">
        <w:rPr>
          <w:sz w:val="32"/>
          <w:szCs w:val="40"/>
        </w:rPr>
        <w:t xml:space="preserve"> </w:t>
      </w:r>
      <w:r w:rsidRPr="008D6336">
        <w:rPr>
          <w:sz w:val="32"/>
          <w:szCs w:val="40"/>
        </w:rPr>
        <w:t xml:space="preserve">в Европе </w:t>
      </w:r>
      <w:r w:rsidRPr="008D6336">
        <w:rPr>
          <w:sz w:val="32"/>
          <w:szCs w:val="40"/>
        </w:rPr>
        <w:t xml:space="preserve">за счет </w:t>
      </w:r>
      <w:r w:rsidRPr="008D6336">
        <w:rPr>
          <w:sz w:val="32"/>
          <w:szCs w:val="40"/>
        </w:rPr>
        <w:t>повышения</w:t>
      </w:r>
      <w:r w:rsidRPr="008D6336">
        <w:rPr>
          <w:sz w:val="32"/>
          <w:szCs w:val="40"/>
        </w:rPr>
        <w:t xml:space="preserve"> доступности данных</w:t>
      </w:r>
      <w:r w:rsidRPr="008D6336">
        <w:rPr>
          <w:sz w:val="32"/>
          <w:szCs w:val="40"/>
        </w:rPr>
        <w:t xml:space="preserve"> как на этапе </w:t>
      </w:r>
      <w:r w:rsidR="00741CF6" w:rsidRPr="008D6336">
        <w:rPr>
          <w:sz w:val="32"/>
          <w:szCs w:val="40"/>
        </w:rPr>
        <w:t xml:space="preserve">оценки, так и при сравнении </w:t>
      </w:r>
      <w:r w:rsidR="00741CF6" w:rsidRPr="008D6336">
        <w:rPr>
          <w:sz w:val="32"/>
          <w:szCs w:val="40"/>
        </w:rPr>
        <w:t>NPL</w:t>
      </w:r>
      <w:r w:rsidR="00741CF6" w:rsidRPr="008D6336">
        <w:rPr>
          <w:sz w:val="32"/>
          <w:szCs w:val="40"/>
        </w:rPr>
        <w:t xml:space="preserve">, а также повышения качества данных об участниках рынка, </w:t>
      </w:r>
      <w:r w:rsidR="00741CF6" w:rsidRPr="008D6336">
        <w:rPr>
          <w:sz w:val="32"/>
          <w:szCs w:val="40"/>
        </w:rPr>
        <w:t xml:space="preserve">которые </w:t>
      </w:r>
      <w:r w:rsidR="00741CF6" w:rsidRPr="008D6336">
        <w:rPr>
          <w:sz w:val="32"/>
          <w:szCs w:val="40"/>
        </w:rPr>
        <w:t>отнесены к</w:t>
      </w:r>
      <w:r w:rsidR="00741CF6" w:rsidRPr="008D6336">
        <w:rPr>
          <w:sz w:val="32"/>
          <w:szCs w:val="40"/>
        </w:rPr>
        <w:t xml:space="preserve"> категории NPL, посредством </w:t>
      </w:r>
      <w:r w:rsidR="00741CF6" w:rsidRPr="008D6336">
        <w:rPr>
          <w:sz w:val="32"/>
          <w:szCs w:val="40"/>
        </w:rPr>
        <w:t xml:space="preserve">разработки специализированной информационной платформы </w:t>
      </w:r>
      <w:r w:rsidR="00741CF6" w:rsidRPr="008D6336">
        <w:rPr>
          <w:sz w:val="32"/>
          <w:szCs w:val="40"/>
        </w:rPr>
        <w:t>или через кредитный реестр.</w:t>
      </w:r>
      <w:r w:rsidR="000E08F7" w:rsidRPr="008D6336">
        <w:rPr>
          <w:sz w:val="40"/>
          <w:szCs w:val="40"/>
        </w:rPr>
        <w:br w:type="page"/>
      </w:r>
    </w:p>
    <w:p w14:paraId="4BFF5256" w14:textId="77777777" w:rsidR="008D6336" w:rsidRPr="008D6336" w:rsidRDefault="008D6336" w:rsidP="00715B3D">
      <w:pPr>
        <w:jc w:val="center"/>
        <w:rPr>
          <w:sz w:val="48"/>
          <w:szCs w:val="40"/>
        </w:rPr>
      </w:pPr>
    </w:p>
    <w:p w14:paraId="1D0682D0" w14:textId="77777777" w:rsidR="008D6336" w:rsidRPr="008D6336" w:rsidRDefault="008D6336" w:rsidP="00715B3D">
      <w:pPr>
        <w:jc w:val="center"/>
        <w:rPr>
          <w:sz w:val="48"/>
          <w:szCs w:val="40"/>
        </w:rPr>
      </w:pPr>
    </w:p>
    <w:p w14:paraId="3E42AD0A" w14:textId="77777777" w:rsidR="00BD4C19" w:rsidRPr="008D6336" w:rsidRDefault="000E08F7" w:rsidP="008D6336">
      <w:pPr>
        <w:ind w:left="708" w:hanging="708"/>
        <w:jc w:val="center"/>
        <w:rPr>
          <w:sz w:val="48"/>
          <w:szCs w:val="40"/>
        </w:rPr>
      </w:pPr>
      <w:r w:rsidRPr="008D6336">
        <w:rPr>
          <w:sz w:val="48"/>
          <w:szCs w:val="40"/>
        </w:rPr>
        <w:t>Заключение</w:t>
      </w:r>
    </w:p>
    <w:p w14:paraId="1EF53FA9" w14:textId="77777777" w:rsidR="00715B3D" w:rsidRPr="008D6336" w:rsidRDefault="00715B3D" w:rsidP="00715B3D">
      <w:pPr>
        <w:jc w:val="center"/>
        <w:rPr>
          <w:sz w:val="40"/>
          <w:szCs w:val="40"/>
        </w:rPr>
      </w:pPr>
    </w:p>
    <w:p w14:paraId="419806DE" w14:textId="2A416859" w:rsidR="000E08F7" w:rsidRPr="008D6336" w:rsidRDefault="00DB472B" w:rsidP="005A57BC">
      <w:pPr>
        <w:jc w:val="both"/>
        <w:rPr>
          <w:sz w:val="40"/>
          <w:szCs w:val="40"/>
        </w:rPr>
      </w:pPr>
      <w:r w:rsidRPr="008D6336">
        <w:rPr>
          <w:sz w:val="40"/>
          <w:szCs w:val="40"/>
        </w:rPr>
        <w:t>Один из выводов заключа</w:t>
      </w:r>
      <w:r w:rsidRPr="008D6336">
        <w:rPr>
          <w:sz w:val="40"/>
          <w:szCs w:val="40"/>
        </w:rPr>
        <w:t>ет</w:t>
      </w:r>
      <w:r w:rsidRPr="008D6336">
        <w:rPr>
          <w:sz w:val="40"/>
          <w:szCs w:val="40"/>
        </w:rPr>
        <w:t>ся в том, что из-за сложности этого вопроса мы должны сосредоточиться на разработке адекватных правил</w:t>
      </w:r>
      <w:r w:rsidRPr="008D6336">
        <w:rPr>
          <w:sz w:val="40"/>
          <w:szCs w:val="40"/>
        </w:rPr>
        <w:t xml:space="preserve"> для</w:t>
      </w:r>
      <w:r w:rsidRPr="008D6336">
        <w:rPr>
          <w:sz w:val="40"/>
          <w:szCs w:val="40"/>
        </w:rPr>
        <w:t xml:space="preserve"> </w:t>
      </w:r>
      <w:r w:rsidRPr="008D6336">
        <w:rPr>
          <w:sz w:val="40"/>
          <w:szCs w:val="40"/>
        </w:rPr>
        <w:t>повышения качества</w:t>
      </w:r>
      <w:r w:rsidRPr="008D6336">
        <w:rPr>
          <w:sz w:val="40"/>
          <w:szCs w:val="40"/>
        </w:rPr>
        <w:t xml:space="preserve"> налогово</w:t>
      </w:r>
      <w:r w:rsidRPr="008D6336">
        <w:rPr>
          <w:sz w:val="40"/>
          <w:szCs w:val="40"/>
        </w:rPr>
        <w:t>го регулирования</w:t>
      </w:r>
      <w:r w:rsidRPr="008D6336">
        <w:rPr>
          <w:sz w:val="40"/>
          <w:szCs w:val="40"/>
        </w:rPr>
        <w:t xml:space="preserve"> проблемных кредитов </w:t>
      </w:r>
      <w:r w:rsidR="00D62E05" w:rsidRPr="008D6336">
        <w:rPr>
          <w:sz w:val="40"/>
          <w:szCs w:val="40"/>
        </w:rPr>
        <w:t xml:space="preserve">и развития рынка выкупа и продажи NPL в соответствии с </w:t>
      </w:r>
      <w:r w:rsidR="009F4BAD" w:rsidRPr="008D6336">
        <w:rPr>
          <w:sz w:val="40"/>
          <w:szCs w:val="40"/>
        </w:rPr>
        <w:t>рекомендациями Еврокомиссии.</w:t>
      </w:r>
    </w:p>
    <w:p w14:paraId="004C4FA3" w14:textId="77777777" w:rsidR="009F4BAD" w:rsidRPr="008D6336" w:rsidRDefault="009F4BAD" w:rsidP="005A57BC">
      <w:pPr>
        <w:jc w:val="both"/>
        <w:rPr>
          <w:sz w:val="40"/>
          <w:szCs w:val="40"/>
        </w:rPr>
      </w:pPr>
    </w:p>
    <w:p w14:paraId="7DDE5502" w14:textId="433DCE93" w:rsidR="005A57BC" w:rsidRPr="008D6336" w:rsidRDefault="00DB472B" w:rsidP="005A57BC">
      <w:pPr>
        <w:jc w:val="both"/>
        <w:rPr>
          <w:sz w:val="40"/>
          <w:szCs w:val="40"/>
        </w:rPr>
      </w:pPr>
      <w:r w:rsidRPr="008D6336">
        <w:rPr>
          <w:sz w:val="40"/>
          <w:szCs w:val="40"/>
        </w:rPr>
        <w:t xml:space="preserve">Необходимо </w:t>
      </w:r>
      <w:r w:rsidR="00715B3D" w:rsidRPr="008D6336">
        <w:rPr>
          <w:sz w:val="40"/>
          <w:szCs w:val="40"/>
        </w:rPr>
        <w:t>постоянное обучение и повышение квалификации</w:t>
      </w:r>
      <w:r w:rsidRPr="008D6336">
        <w:rPr>
          <w:sz w:val="40"/>
          <w:szCs w:val="40"/>
        </w:rPr>
        <w:t xml:space="preserve"> </w:t>
      </w:r>
      <w:r w:rsidR="005A57BC" w:rsidRPr="008D6336">
        <w:rPr>
          <w:sz w:val="40"/>
          <w:szCs w:val="40"/>
        </w:rPr>
        <w:t>сотрудников</w:t>
      </w:r>
      <w:r w:rsidRPr="008D6336">
        <w:rPr>
          <w:sz w:val="40"/>
          <w:szCs w:val="40"/>
        </w:rPr>
        <w:t xml:space="preserve"> учреждений</w:t>
      </w:r>
      <w:r w:rsidRPr="008D6336">
        <w:rPr>
          <w:sz w:val="40"/>
          <w:szCs w:val="40"/>
        </w:rPr>
        <w:t>,</w:t>
      </w:r>
      <w:r w:rsidR="00715B3D" w:rsidRPr="008D6336">
        <w:rPr>
          <w:sz w:val="40"/>
          <w:szCs w:val="40"/>
        </w:rPr>
        <w:t xml:space="preserve"> </w:t>
      </w:r>
      <w:r w:rsidRPr="008D6336">
        <w:rPr>
          <w:sz w:val="40"/>
          <w:szCs w:val="40"/>
        </w:rPr>
        <w:t>занимающихся банковскими вопросами</w:t>
      </w:r>
      <w:r w:rsidR="00715B3D" w:rsidRPr="008D6336">
        <w:rPr>
          <w:sz w:val="40"/>
          <w:szCs w:val="40"/>
        </w:rPr>
        <w:t xml:space="preserve">, </w:t>
      </w:r>
      <w:r w:rsidR="005A57BC" w:rsidRPr="008D6336">
        <w:rPr>
          <w:sz w:val="40"/>
          <w:szCs w:val="40"/>
        </w:rPr>
        <w:t>а также судей и экспертов, занимающихся вопросами NPL.</w:t>
      </w:r>
    </w:p>
    <w:p w14:paraId="0005436F" w14:textId="5A6C0A91" w:rsidR="000E08F7" w:rsidRPr="008D6336" w:rsidRDefault="000E08F7" w:rsidP="005A57BC">
      <w:pPr>
        <w:jc w:val="both"/>
        <w:rPr>
          <w:sz w:val="40"/>
          <w:szCs w:val="40"/>
        </w:rPr>
      </w:pPr>
    </w:p>
    <w:sectPr w:rsidR="000E08F7" w:rsidRPr="008D6336" w:rsidSect="00524149">
      <w:pgSz w:w="16817" w:h="11901" w:orient="landscape"/>
      <w:pgMar w:top="567"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6DD2"/>
    <w:multiLevelType w:val="hybridMultilevel"/>
    <w:tmpl w:val="DD68A2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911085B"/>
    <w:multiLevelType w:val="hybridMultilevel"/>
    <w:tmpl w:val="906C2384"/>
    <w:lvl w:ilvl="0" w:tplc="0728C3C4">
      <w:start w:val="1"/>
      <w:numFmt w:val="bullet"/>
      <w:lvlText w:val="•"/>
      <w:lvlJc w:val="left"/>
      <w:pPr>
        <w:tabs>
          <w:tab w:val="num" w:pos="720"/>
        </w:tabs>
        <w:ind w:left="720" w:hanging="360"/>
      </w:pPr>
      <w:rPr>
        <w:rFonts w:ascii="Arial" w:hAnsi="Arial" w:hint="default"/>
      </w:rPr>
    </w:lvl>
    <w:lvl w:ilvl="1" w:tplc="EBA6E460" w:tentative="1">
      <w:start w:val="1"/>
      <w:numFmt w:val="bullet"/>
      <w:lvlText w:val="•"/>
      <w:lvlJc w:val="left"/>
      <w:pPr>
        <w:tabs>
          <w:tab w:val="num" w:pos="1440"/>
        </w:tabs>
        <w:ind w:left="1440" w:hanging="360"/>
      </w:pPr>
      <w:rPr>
        <w:rFonts w:ascii="Arial" w:hAnsi="Arial" w:hint="default"/>
      </w:rPr>
    </w:lvl>
    <w:lvl w:ilvl="2" w:tplc="F498EFF0" w:tentative="1">
      <w:start w:val="1"/>
      <w:numFmt w:val="bullet"/>
      <w:lvlText w:val="•"/>
      <w:lvlJc w:val="left"/>
      <w:pPr>
        <w:tabs>
          <w:tab w:val="num" w:pos="2160"/>
        </w:tabs>
        <w:ind w:left="2160" w:hanging="360"/>
      </w:pPr>
      <w:rPr>
        <w:rFonts w:ascii="Arial" w:hAnsi="Arial" w:hint="default"/>
      </w:rPr>
    </w:lvl>
    <w:lvl w:ilvl="3" w:tplc="636484F0" w:tentative="1">
      <w:start w:val="1"/>
      <w:numFmt w:val="bullet"/>
      <w:lvlText w:val="•"/>
      <w:lvlJc w:val="left"/>
      <w:pPr>
        <w:tabs>
          <w:tab w:val="num" w:pos="2880"/>
        </w:tabs>
        <w:ind w:left="2880" w:hanging="360"/>
      </w:pPr>
      <w:rPr>
        <w:rFonts w:ascii="Arial" w:hAnsi="Arial" w:hint="default"/>
      </w:rPr>
    </w:lvl>
    <w:lvl w:ilvl="4" w:tplc="8552330A" w:tentative="1">
      <w:start w:val="1"/>
      <w:numFmt w:val="bullet"/>
      <w:lvlText w:val="•"/>
      <w:lvlJc w:val="left"/>
      <w:pPr>
        <w:tabs>
          <w:tab w:val="num" w:pos="3600"/>
        </w:tabs>
        <w:ind w:left="3600" w:hanging="360"/>
      </w:pPr>
      <w:rPr>
        <w:rFonts w:ascii="Arial" w:hAnsi="Arial" w:hint="default"/>
      </w:rPr>
    </w:lvl>
    <w:lvl w:ilvl="5" w:tplc="80B29500" w:tentative="1">
      <w:start w:val="1"/>
      <w:numFmt w:val="bullet"/>
      <w:lvlText w:val="•"/>
      <w:lvlJc w:val="left"/>
      <w:pPr>
        <w:tabs>
          <w:tab w:val="num" w:pos="4320"/>
        </w:tabs>
        <w:ind w:left="4320" w:hanging="360"/>
      </w:pPr>
      <w:rPr>
        <w:rFonts w:ascii="Arial" w:hAnsi="Arial" w:hint="default"/>
      </w:rPr>
    </w:lvl>
    <w:lvl w:ilvl="6" w:tplc="9E06C4D4" w:tentative="1">
      <w:start w:val="1"/>
      <w:numFmt w:val="bullet"/>
      <w:lvlText w:val="•"/>
      <w:lvlJc w:val="left"/>
      <w:pPr>
        <w:tabs>
          <w:tab w:val="num" w:pos="5040"/>
        </w:tabs>
        <w:ind w:left="5040" w:hanging="360"/>
      </w:pPr>
      <w:rPr>
        <w:rFonts w:ascii="Arial" w:hAnsi="Arial" w:hint="default"/>
      </w:rPr>
    </w:lvl>
    <w:lvl w:ilvl="7" w:tplc="87BE2100" w:tentative="1">
      <w:start w:val="1"/>
      <w:numFmt w:val="bullet"/>
      <w:lvlText w:val="•"/>
      <w:lvlJc w:val="left"/>
      <w:pPr>
        <w:tabs>
          <w:tab w:val="num" w:pos="5760"/>
        </w:tabs>
        <w:ind w:left="5760" w:hanging="360"/>
      </w:pPr>
      <w:rPr>
        <w:rFonts w:ascii="Arial" w:hAnsi="Arial" w:hint="default"/>
      </w:rPr>
    </w:lvl>
    <w:lvl w:ilvl="8" w:tplc="7E7E05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171156"/>
    <w:multiLevelType w:val="hybridMultilevel"/>
    <w:tmpl w:val="76D689D8"/>
    <w:lvl w:ilvl="0" w:tplc="BF90A67E">
      <w:start w:val="1"/>
      <w:numFmt w:val="bullet"/>
      <w:lvlText w:val="•"/>
      <w:lvlJc w:val="left"/>
      <w:pPr>
        <w:tabs>
          <w:tab w:val="num" w:pos="720"/>
        </w:tabs>
        <w:ind w:left="720" w:hanging="360"/>
      </w:pPr>
      <w:rPr>
        <w:rFonts w:ascii="Arial" w:hAnsi="Arial" w:hint="default"/>
      </w:rPr>
    </w:lvl>
    <w:lvl w:ilvl="1" w:tplc="E416A682" w:tentative="1">
      <w:start w:val="1"/>
      <w:numFmt w:val="bullet"/>
      <w:lvlText w:val="•"/>
      <w:lvlJc w:val="left"/>
      <w:pPr>
        <w:tabs>
          <w:tab w:val="num" w:pos="1440"/>
        </w:tabs>
        <w:ind w:left="1440" w:hanging="360"/>
      </w:pPr>
      <w:rPr>
        <w:rFonts w:ascii="Arial" w:hAnsi="Arial" w:hint="default"/>
      </w:rPr>
    </w:lvl>
    <w:lvl w:ilvl="2" w:tplc="36E8F3E6" w:tentative="1">
      <w:start w:val="1"/>
      <w:numFmt w:val="bullet"/>
      <w:lvlText w:val="•"/>
      <w:lvlJc w:val="left"/>
      <w:pPr>
        <w:tabs>
          <w:tab w:val="num" w:pos="2160"/>
        </w:tabs>
        <w:ind w:left="2160" w:hanging="360"/>
      </w:pPr>
      <w:rPr>
        <w:rFonts w:ascii="Arial" w:hAnsi="Arial" w:hint="default"/>
      </w:rPr>
    </w:lvl>
    <w:lvl w:ilvl="3" w:tplc="808AA038" w:tentative="1">
      <w:start w:val="1"/>
      <w:numFmt w:val="bullet"/>
      <w:lvlText w:val="•"/>
      <w:lvlJc w:val="left"/>
      <w:pPr>
        <w:tabs>
          <w:tab w:val="num" w:pos="2880"/>
        </w:tabs>
        <w:ind w:left="2880" w:hanging="360"/>
      </w:pPr>
      <w:rPr>
        <w:rFonts w:ascii="Arial" w:hAnsi="Arial" w:hint="default"/>
      </w:rPr>
    </w:lvl>
    <w:lvl w:ilvl="4" w:tplc="0C5801A0" w:tentative="1">
      <w:start w:val="1"/>
      <w:numFmt w:val="bullet"/>
      <w:lvlText w:val="•"/>
      <w:lvlJc w:val="left"/>
      <w:pPr>
        <w:tabs>
          <w:tab w:val="num" w:pos="3600"/>
        </w:tabs>
        <w:ind w:left="3600" w:hanging="360"/>
      </w:pPr>
      <w:rPr>
        <w:rFonts w:ascii="Arial" w:hAnsi="Arial" w:hint="default"/>
      </w:rPr>
    </w:lvl>
    <w:lvl w:ilvl="5" w:tplc="AFB06B72" w:tentative="1">
      <w:start w:val="1"/>
      <w:numFmt w:val="bullet"/>
      <w:lvlText w:val="•"/>
      <w:lvlJc w:val="left"/>
      <w:pPr>
        <w:tabs>
          <w:tab w:val="num" w:pos="4320"/>
        </w:tabs>
        <w:ind w:left="4320" w:hanging="360"/>
      </w:pPr>
      <w:rPr>
        <w:rFonts w:ascii="Arial" w:hAnsi="Arial" w:hint="default"/>
      </w:rPr>
    </w:lvl>
    <w:lvl w:ilvl="6" w:tplc="9446C97C" w:tentative="1">
      <w:start w:val="1"/>
      <w:numFmt w:val="bullet"/>
      <w:lvlText w:val="•"/>
      <w:lvlJc w:val="left"/>
      <w:pPr>
        <w:tabs>
          <w:tab w:val="num" w:pos="5040"/>
        </w:tabs>
        <w:ind w:left="5040" w:hanging="360"/>
      </w:pPr>
      <w:rPr>
        <w:rFonts w:ascii="Arial" w:hAnsi="Arial" w:hint="default"/>
      </w:rPr>
    </w:lvl>
    <w:lvl w:ilvl="7" w:tplc="2DCA0974" w:tentative="1">
      <w:start w:val="1"/>
      <w:numFmt w:val="bullet"/>
      <w:lvlText w:val="•"/>
      <w:lvlJc w:val="left"/>
      <w:pPr>
        <w:tabs>
          <w:tab w:val="num" w:pos="5760"/>
        </w:tabs>
        <w:ind w:left="5760" w:hanging="360"/>
      </w:pPr>
      <w:rPr>
        <w:rFonts w:ascii="Arial" w:hAnsi="Arial" w:hint="default"/>
      </w:rPr>
    </w:lvl>
    <w:lvl w:ilvl="8" w:tplc="0E72A5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BA489C"/>
    <w:multiLevelType w:val="hybridMultilevel"/>
    <w:tmpl w:val="9C76C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BA20F7"/>
    <w:multiLevelType w:val="hybridMultilevel"/>
    <w:tmpl w:val="DC74C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282E6F"/>
    <w:multiLevelType w:val="hybridMultilevel"/>
    <w:tmpl w:val="30D25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0A217B"/>
    <w:multiLevelType w:val="hybridMultilevel"/>
    <w:tmpl w:val="38C06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192771"/>
    <w:multiLevelType w:val="hybridMultilevel"/>
    <w:tmpl w:val="A1CEEAD0"/>
    <w:lvl w:ilvl="0" w:tplc="C016C744">
      <w:start w:val="1"/>
      <w:numFmt w:val="bullet"/>
      <w:lvlText w:val="•"/>
      <w:lvlJc w:val="left"/>
      <w:pPr>
        <w:tabs>
          <w:tab w:val="num" w:pos="720"/>
        </w:tabs>
        <w:ind w:left="720" w:hanging="360"/>
      </w:pPr>
      <w:rPr>
        <w:rFonts w:ascii="Arial" w:hAnsi="Arial" w:hint="default"/>
      </w:rPr>
    </w:lvl>
    <w:lvl w:ilvl="1" w:tplc="18D051A0" w:tentative="1">
      <w:start w:val="1"/>
      <w:numFmt w:val="bullet"/>
      <w:lvlText w:val="•"/>
      <w:lvlJc w:val="left"/>
      <w:pPr>
        <w:tabs>
          <w:tab w:val="num" w:pos="1440"/>
        </w:tabs>
        <w:ind w:left="1440" w:hanging="360"/>
      </w:pPr>
      <w:rPr>
        <w:rFonts w:ascii="Arial" w:hAnsi="Arial" w:hint="default"/>
      </w:rPr>
    </w:lvl>
    <w:lvl w:ilvl="2" w:tplc="C21AE0A2" w:tentative="1">
      <w:start w:val="1"/>
      <w:numFmt w:val="bullet"/>
      <w:lvlText w:val="•"/>
      <w:lvlJc w:val="left"/>
      <w:pPr>
        <w:tabs>
          <w:tab w:val="num" w:pos="2160"/>
        </w:tabs>
        <w:ind w:left="2160" w:hanging="360"/>
      </w:pPr>
      <w:rPr>
        <w:rFonts w:ascii="Arial" w:hAnsi="Arial" w:hint="default"/>
      </w:rPr>
    </w:lvl>
    <w:lvl w:ilvl="3" w:tplc="449463DE" w:tentative="1">
      <w:start w:val="1"/>
      <w:numFmt w:val="bullet"/>
      <w:lvlText w:val="•"/>
      <w:lvlJc w:val="left"/>
      <w:pPr>
        <w:tabs>
          <w:tab w:val="num" w:pos="2880"/>
        </w:tabs>
        <w:ind w:left="2880" w:hanging="360"/>
      </w:pPr>
      <w:rPr>
        <w:rFonts w:ascii="Arial" w:hAnsi="Arial" w:hint="default"/>
      </w:rPr>
    </w:lvl>
    <w:lvl w:ilvl="4" w:tplc="CBFC0D14" w:tentative="1">
      <w:start w:val="1"/>
      <w:numFmt w:val="bullet"/>
      <w:lvlText w:val="•"/>
      <w:lvlJc w:val="left"/>
      <w:pPr>
        <w:tabs>
          <w:tab w:val="num" w:pos="3600"/>
        </w:tabs>
        <w:ind w:left="3600" w:hanging="360"/>
      </w:pPr>
      <w:rPr>
        <w:rFonts w:ascii="Arial" w:hAnsi="Arial" w:hint="default"/>
      </w:rPr>
    </w:lvl>
    <w:lvl w:ilvl="5" w:tplc="F5789BEC" w:tentative="1">
      <w:start w:val="1"/>
      <w:numFmt w:val="bullet"/>
      <w:lvlText w:val="•"/>
      <w:lvlJc w:val="left"/>
      <w:pPr>
        <w:tabs>
          <w:tab w:val="num" w:pos="4320"/>
        </w:tabs>
        <w:ind w:left="4320" w:hanging="360"/>
      </w:pPr>
      <w:rPr>
        <w:rFonts w:ascii="Arial" w:hAnsi="Arial" w:hint="default"/>
      </w:rPr>
    </w:lvl>
    <w:lvl w:ilvl="6" w:tplc="17D81524" w:tentative="1">
      <w:start w:val="1"/>
      <w:numFmt w:val="bullet"/>
      <w:lvlText w:val="•"/>
      <w:lvlJc w:val="left"/>
      <w:pPr>
        <w:tabs>
          <w:tab w:val="num" w:pos="5040"/>
        </w:tabs>
        <w:ind w:left="5040" w:hanging="360"/>
      </w:pPr>
      <w:rPr>
        <w:rFonts w:ascii="Arial" w:hAnsi="Arial" w:hint="default"/>
      </w:rPr>
    </w:lvl>
    <w:lvl w:ilvl="7" w:tplc="8068B6A2" w:tentative="1">
      <w:start w:val="1"/>
      <w:numFmt w:val="bullet"/>
      <w:lvlText w:val="•"/>
      <w:lvlJc w:val="left"/>
      <w:pPr>
        <w:tabs>
          <w:tab w:val="num" w:pos="5760"/>
        </w:tabs>
        <w:ind w:left="5760" w:hanging="360"/>
      </w:pPr>
      <w:rPr>
        <w:rFonts w:ascii="Arial" w:hAnsi="Arial" w:hint="default"/>
      </w:rPr>
    </w:lvl>
    <w:lvl w:ilvl="8" w:tplc="DBB8CD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8C4B12"/>
    <w:multiLevelType w:val="hybridMultilevel"/>
    <w:tmpl w:val="6434B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7260E8"/>
    <w:multiLevelType w:val="hybridMultilevel"/>
    <w:tmpl w:val="B0A42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8"/>
  </w:num>
  <w:num w:numId="7">
    <w:abstractNumId w:val="9"/>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84"/>
    <w:rsid w:val="00053771"/>
    <w:rsid w:val="000559C3"/>
    <w:rsid w:val="00071584"/>
    <w:rsid w:val="000723D5"/>
    <w:rsid w:val="00085BB7"/>
    <w:rsid w:val="00091570"/>
    <w:rsid w:val="0009406E"/>
    <w:rsid w:val="00097616"/>
    <w:rsid w:val="000A27A7"/>
    <w:rsid w:val="000B4217"/>
    <w:rsid w:val="000B4FED"/>
    <w:rsid w:val="000B5AE3"/>
    <w:rsid w:val="000E08F7"/>
    <w:rsid w:val="000F5512"/>
    <w:rsid w:val="001168F7"/>
    <w:rsid w:val="00121919"/>
    <w:rsid w:val="00152CE5"/>
    <w:rsid w:val="00170E45"/>
    <w:rsid w:val="00174716"/>
    <w:rsid w:val="0019568E"/>
    <w:rsid w:val="001C3270"/>
    <w:rsid w:val="001F3858"/>
    <w:rsid w:val="001F6B42"/>
    <w:rsid w:val="001F7BD8"/>
    <w:rsid w:val="00204888"/>
    <w:rsid w:val="00215585"/>
    <w:rsid w:val="00216502"/>
    <w:rsid w:val="0021704A"/>
    <w:rsid w:val="0022261A"/>
    <w:rsid w:val="002572ED"/>
    <w:rsid w:val="002771C7"/>
    <w:rsid w:val="0029451B"/>
    <w:rsid w:val="002D33AA"/>
    <w:rsid w:val="002F6674"/>
    <w:rsid w:val="00302AF7"/>
    <w:rsid w:val="00317AEB"/>
    <w:rsid w:val="0033460E"/>
    <w:rsid w:val="00351D10"/>
    <w:rsid w:val="003A5D63"/>
    <w:rsid w:val="003C633D"/>
    <w:rsid w:val="00420951"/>
    <w:rsid w:val="004532F7"/>
    <w:rsid w:val="00462CA5"/>
    <w:rsid w:val="00493169"/>
    <w:rsid w:val="00495C2F"/>
    <w:rsid w:val="00496CBA"/>
    <w:rsid w:val="004A6148"/>
    <w:rsid w:val="004B05C5"/>
    <w:rsid w:val="004C61D2"/>
    <w:rsid w:val="004D16AB"/>
    <w:rsid w:val="004D3330"/>
    <w:rsid w:val="00524149"/>
    <w:rsid w:val="005544BF"/>
    <w:rsid w:val="00554A42"/>
    <w:rsid w:val="005642E3"/>
    <w:rsid w:val="00574A44"/>
    <w:rsid w:val="005A4D76"/>
    <w:rsid w:val="005A57BC"/>
    <w:rsid w:val="005B2DD2"/>
    <w:rsid w:val="005B43C4"/>
    <w:rsid w:val="005D1D32"/>
    <w:rsid w:val="006044A7"/>
    <w:rsid w:val="006058D1"/>
    <w:rsid w:val="00622652"/>
    <w:rsid w:val="006B4B80"/>
    <w:rsid w:val="006E619E"/>
    <w:rsid w:val="00715B3D"/>
    <w:rsid w:val="00736D01"/>
    <w:rsid w:val="00741CF6"/>
    <w:rsid w:val="00756831"/>
    <w:rsid w:val="00774742"/>
    <w:rsid w:val="0077764C"/>
    <w:rsid w:val="00780569"/>
    <w:rsid w:val="007874A5"/>
    <w:rsid w:val="0079541D"/>
    <w:rsid w:val="007A1C7B"/>
    <w:rsid w:val="007A4482"/>
    <w:rsid w:val="007B652E"/>
    <w:rsid w:val="007D274B"/>
    <w:rsid w:val="007E6867"/>
    <w:rsid w:val="00815370"/>
    <w:rsid w:val="00815E22"/>
    <w:rsid w:val="008229CA"/>
    <w:rsid w:val="00832351"/>
    <w:rsid w:val="00833098"/>
    <w:rsid w:val="00836E72"/>
    <w:rsid w:val="00837FA6"/>
    <w:rsid w:val="00896399"/>
    <w:rsid w:val="008A3D1E"/>
    <w:rsid w:val="008B7067"/>
    <w:rsid w:val="008B7291"/>
    <w:rsid w:val="008C6D23"/>
    <w:rsid w:val="008D5B51"/>
    <w:rsid w:val="008D6336"/>
    <w:rsid w:val="008E7467"/>
    <w:rsid w:val="0090264B"/>
    <w:rsid w:val="00904470"/>
    <w:rsid w:val="00925F57"/>
    <w:rsid w:val="009409C6"/>
    <w:rsid w:val="009420EC"/>
    <w:rsid w:val="00942416"/>
    <w:rsid w:val="009672F6"/>
    <w:rsid w:val="00976CA7"/>
    <w:rsid w:val="009C11BB"/>
    <w:rsid w:val="009C4584"/>
    <w:rsid w:val="009D5D05"/>
    <w:rsid w:val="009D69EC"/>
    <w:rsid w:val="009D7A23"/>
    <w:rsid w:val="009F0101"/>
    <w:rsid w:val="009F4BAD"/>
    <w:rsid w:val="00A11529"/>
    <w:rsid w:val="00A13B79"/>
    <w:rsid w:val="00A2705C"/>
    <w:rsid w:val="00A35725"/>
    <w:rsid w:val="00A408B4"/>
    <w:rsid w:val="00A506FC"/>
    <w:rsid w:val="00A65AEC"/>
    <w:rsid w:val="00A739EE"/>
    <w:rsid w:val="00A933D7"/>
    <w:rsid w:val="00A97750"/>
    <w:rsid w:val="00AC7C12"/>
    <w:rsid w:val="00AE0884"/>
    <w:rsid w:val="00AE5A84"/>
    <w:rsid w:val="00B34553"/>
    <w:rsid w:val="00B43550"/>
    <w:rsid w:val="00B649FA"/>
    <w:rsid w:val="00B67F2C"/>
    <w:rsid w:val="00B847A7"/>
    <w:rsid w:val="00BA0766"/>
    <w:rsid w:val="00BB37C0"/>
    <w:rsid w:val="00BC21D1"/>
    <w:rsid w:val="00BC6652"/>
    <w:rsid w:val="00BD4C19"/>
    <w:rsid w:val="00BE4CED"/>
    <w:rsid w:val="00BE7232"/>
    <w:rsid w:val="00BF6554"/>
    <w:rsid w:val="00C06A6E"/>
    <w:rsid w:val="00C171B7"/>
    <w:rsid w:val="00C4481F"/>
    <w:rsid w:val="00C821BB"/>
    <w:rsid w:val="00CA1CED"/>
    <w:rsid w:val="00CF31F7"/>
    <w:rsid w:val="00CF78CC"/>
    <w:rsid w:val="00D40F1F"/>
    <w:rsid w:val="00D4510F"/>
    <w:rsid w:val="00D57D89"/>
    <w:rsid w:val="00D62E05"/>
    <w:rsid w:val="00DA25EA"/>
    <w:rsid w:val="00DA3834"/>
    <w:rsid w:val="00DA65B9"/>
    <w:rsid w:val="00DB472B"/>
    <w:rsid w:val="00DE1358"/>
    <w:rsid w:val="00E03F52"/>
    <w:rsid w:val="00E12869"/>
    <w:rsid w:val="00E16F9B"/>
    <w:rsid w:val="00E26176"/>
    <w:rsid w:val="00E44831"/>
    <w:rsid w:val="00E640C5"/>
    <w:rsid w:val="00E72DB7"/>
    <w:rsid w:val="00E85B48"/>
    <w:rsid w:val="00E9246F"/>
    <w:rsid w:val="00ED04C3"/>
    <w:rsid w:val="00F0508C"/>
    <w:rsid w:val="00F257D5"/>
    <w:rsid w:val="00F52CD5"/>
    <w:rsid w:val="00F57B84"/>
    <w:rsid w:val="00F67E4F"/>
    <w:rsid w:val="00F7297F"/>
    <w:rsid w:val="00F762FB"/>
    <w:rsid w:val="00F96E7A"/>
    <w:rsid w:val="00FB34C9"/>
    <w:rsid w:val="00FF1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44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9934">
      <w:bodyDiv w:val="1"/>
      <w:marLeft w:val="0"/>
      <w:marRight w:val="0"/>
      <w:marTop w:val="0"/>
      <w:marBottom w:val="0"/>
      <w:divBdr>
        <w:top w:val="none" w:sz="0" w:space="0" w:color="auto"/>
        <w:left w:val="none" w:sz="0" w:space="0" w:color="auto"/>
        <w:bottom w:val="none" w:sz="0" w:space="0" w:color="auto"/>
        <w:right w:val="none" w:sz="0" w:space="0" w:color="auto"/>
      </w:divBdr>
    </w:div>
    <w:div w:id="818889554">
      <w:bodyDiv w:val="1"/>
      <w:marLeft w:val="0"/>
      <w:marRight w:val="0"/>
      <w:marTop w:val="0"/>
      <w:marBottom w:val="0"/>
      <w:divBdr>
        <w:top w:val="none" w:sz="0" w:space="0" w:color="auto"/>
        <w:left w:val="none" w:sz="0" w:space="0" w:color="auto"/>
        <w:bottom w:val="none" w:sz="0" w:space="0" w:color="auto"/>
        <w:right w:val="none" w:sz="0" w:space="0" w:color="auto"/>
      </w:divBdr>
      <w:divsChild>
        <w:div w:id="1534225380">
          <w:marLeft w:val="547"/>
          <w:marRight w:val="0"/>
          <w:marTop w:val="72"/>
          <w:marBottom w:val="0"/>
          <w:divBdr>
            <w:top w:val="none" w:sz="0" w:space="0" w:color="auto"/>
            <w:left w:val="none" w:sz="0" w:space="0" w:color="auto"/>
            <w:bottom w:val="none" w:sz="0" w:space="0" w:color="auto"/>
            <w:right w:val="none" w:sz="0" w:space="0" w:color="auto"/>
          </w:divBdr>
        </w:div>
      </w:divsChild>
    </w:div>
    <w:div w:id="1332369354">
      <w:bodyDiv w:val="1"/>
      <w:marLeft w:val="0"/>
      <w:marRight w:val="0"/>
      <w:marTop w:val="0"/>
      <w:marBottom w:val="0"/>
      <w:divBdr>
        <w:top w:val="none" w:sz="0" w:space="0" w:color="auto"/>
        <w:left w:val="none" w:sz="0" w:space="0" w:color="auto"/>
        <w:bottom w:val="none" w:sz="0" w:space="0" w:color="auto"/>
        <w:right w:val="none" w:sz="0" w:space="0" w:color="auto"/>
      </w:divBdr>
      <w:divsChild>
        <w:div w:id="1349023114">
          <w:marLeft w:val="547"/>
          <w:marRight w:val="0"/>
          <w:marTop w:val="72"/>
          <w:marBottom w:val="0"/>
          <w:divBdr>
            <w:top w:val="none" w:sz="0" w:space="0" w:color="auto"/>
            <w:left w:val="none" w:sz="0" w:space="0" w:color="auto"/>
            <w:bottom w:val="none" w:sz="0" w:space="0" w:color="auto"/>
            <w:right w:val="none" w:sz="0" w:space="0" w:color="auto"/>
          </w:divBdr>
        </w:div>
      </w:divsChild>
    </w:div>
    <w:div w:id="191339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4448">
          <w:marLeft w:val="547"/>
          <w:marRight w:val="0"/>
          <w:marTop w:val="7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13</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Екатерина Ерохина</cp:lastModifiedBy>
  <cp:revision>44</cp:revision>
  <dcterms:created xsi:type="dcterms:W3CDTF">2018-05-11T11:30:00Z</dcterms:created>
  <dcterms:modified xsi:type="dcterms:W3CDTF">2018-05-14T08:09:00Z</dcterms:modified>
</cp:coreProperties>
</file>