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D4266" w14:textId="77777777" w:rsidR="00795048" w:rsidRDefault="00862097" w:rsidP="002F1DD2">
      <w:pPr>
        <w:pStyle w:val="1"/>
        <w:shd w:val="clear" w:color="auto" w:fill="auto"/>
        <w:spacing w:after="320" w:line="360" w:lineRule="auto"/>
        <w:ind w:firstLine="0"/>
        <w:jc w:val="right"/>
      </w:pPr>
      <w:r>
        <w:t>Приложение</w:t>
      </w:r>
    </w:p>
    <w:p w14:paraId="38E92403" w14:textId="77777777" w:rsidR="003778F4" w:rsidRDefault="00EC0F7C" w:rsidP="003778F4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Ответы на в</w:t>
      </w:r>
      <w:r w:rsidR="00862097">
        <w:rPr>
          <w:b/>
          <w:bCs/>
        </w:rPr>
        <w:t xml:space="preserve">опросы кредитных организаций </w:t>
      </w:r>
    </w:p>
    <w:p w14:paraId="63176293" w14:textId="77777777" w:rsidR="00795048" w:rsidRDefault="003778F4" w:rsidP="002F1DD2">
      <w:pPr>
        <w:pStyle w:val="1"/>
        <w:shd w:val="clear" w:color="auto" w:fill="auto"/>
        <w:spacing w:after="160" w:line="360" w:lineRule="auto"/>
        <w:ind w:firstLine="0"/>
        <w:jc w:val="center"/>
        <w:rPr>
          <w:b/>
          <w:bCs/>
        </w:rPr>
      </w:pPr>
      <w:r w:rsidRPr="003778F4">
        <w:rPr>
          <w:b/>
          <w:bCs/>
        </w:rPr>
        <w:t>относительно регулирования и развития платежной сферы</w:t>
      </w:r>
    </w:p>
    <w:p w14:paraId="132D994A" w14:textId="77777777" w:rsidR="003778F4" w:rsidRDefault="003778F4" w:rsidP="002F1DD2">
      <w:pPr>
        <w:pStyle w:val="1"/>
        <w:shd w:val="clear" w:color="auto" w:fill="auto"/>
        <w:spacing w:after="160" w:line="360" w:lineRule="auto"/>
        <w:ind w:firstLine="0"/>
        <w:jc w:val="center"/>
      </w:pPr>
    </w:p>
    <w:p w14:paraId="575E7756" w14:textId="77777777" w:rsidR="00795048" w:rsidRDefault="00EC0F7C" w:rsidP="002F1DD2">
      <w:pPr>
        <w:pStyle w:val="1"/>
        <w:shd w:val="clear" w:color="auto" w:fill="auto"/>
        <w:tabs>
          <w:tab w:val="left" w:pos="1397"/>
        </w:tabs>
        <w:spacing w:line="360" w:lineRule="auto"/>
        <w:ind w:firstLine="740"/>
        <w:jc w:val="both"/>
      </w:pPr>
      <w:r w:rsidRPr="00EC0F7C">
        <w:rPr>
          <w:b/>
          <w:color w:val="4472C4" w:themeColor="accent5"/>
        </w:rPr>
        <w:t>В</w:t>
      </w:r>
      <w:r>
        <w:rPr>
          <w:b/>
          <w:color w:val="4472C4" w:themeColor="accent5"/>
        </w:rPr>
        <w:t>ОПРОС</w:t>
      </w:r>
      <w:r w:rsidRPr="00EC0F7C">
        <w:rPr>
          <w:b/>
          <w:color w:val="4472C4" w:themeColor="accent5"/>
        </w:rPr>
        <w:t xml:space="preserve"> 1. </w:t>
      </w:r>
      <w:r w:rsidR="00862097">
        <w:t>Кредитные организации просят уточнить порядок работы с операторами автоматизированных систем оплаты проезда в общественном пассажирском транспорте (АСОП), осуществляющими в рамках транспортных проектов выпуск и выдачу физическим лицам транспортных карт в целях расчетов с перевозчиками за оказанные ими услуги по перевозке пассажиров и багажа.</w:t>
      </w:r>
    </w:p>
    <w:p w14:paraId="5E14F4B5" w14:textId="77777777" w:rsidR="00795048" w:rsidRDefault="00862097" w:rsidP="002F1DD2">
      <w:pPr>
        <w:pStyle w:val="1"/>
        <w:shd w:val="clear" w:color="auto" w:fill="auto"/>
        <w:spacing w:line="360" w:lineRule="auto"/>
        <w:ind w:firstLine="740"/>
        <w:jc w:val="both"/>
      </w:pPr>
      <w:r>
        <w:t>В рамках транспортных проектов банки выступают операторами электронных денежных средств (ЭДС), осуществляющими учет остатков ЭДС на транспортных картах. Согласно статье 7 Закона № 161-ФЗ</w:t>
      </w:r>
      <w:r>
        <w:rPr>
          <w:vertAlign w:val="superscript"/>
        </w:rPr>
        <w:footnoteReference w:id="2"/>
      </w:r>
      <w:r>
        <w:t xml:space="preserve"> оператор ЭДС учитывает денежные средства клиента путем формирования записи, отражающей размер обязательств оператора ЭДС перед клиентом в сумме предоставленных денежных средств.</w:t>
      </w:r>
    </w:p>
    <w:p w14:paraId="64FCB51E" w14:textId="77777777" w:rsidR="00795048" w:rsidRDefault="00862097" w:rsidP="002F1DD2">
      <w:pPr>
        <w:pStyle w:val="1"/>
        <w:shd w:val="clear" w:color="auto" w:fill="auto"/>
        <w:spacing w:line="360" w:lineRule="auto"/>
        <w:ind w:firstLine="740"/>
        <w:jc w:val="both"/>
      </w:pPr>
      <w:r>
        <w:t>В соответствии со статьей 14 Закона № 161-ФЗ оператор по переводу денежных средств (ОПДС), являющийся кредитной организацией, вправе на основании договора привлекать банковского платежного агента (БПА) для обеспечения предоставления клиентам электронных средств платежа (ЭСП) и (или) обеспечения возможности использования ЭСП в соответствии с условиями, установленными ОПДС.</w:t>
      </w:r>
    </w:p>
    <w:p w14:paraId="4DBD3948" w14:textId="77777777" w:rsidR="00795048" w:rsidRDefault="00862097" w:rsidP="002F1DD2">
      <w:pPr>
        <w:pStyle w:val="1"/>
        <w:shd w:val="clear" w:color="auto" w:fill="auto"/>
        <w:spacing w:line="360" w:lineRule="auto"/>
        <w:ind w:firstLine="740"/>
        <w:jc w:val="both"/>
      </w:pPr>
      <w:r>
        <w:t>Согласно статье 3 Закона № 161-ФЗ ЭСП - это средство и (или) способ, позволяющие клиенту ОПДС составлять, удостоверять и передавать распоряжения в целях осуществления перевода денежных средств в рамках применяемых форм безналичных расчетов</w:t>
      </w:r>
      <w:r w:rsidR="00CE0467">
        <w:t xml:space="preserve"> с использованием информационно-</w:t>
      </w:r>
      <w:r>
        <w:t>коммуникационных технологий, электронных носителей информации, в том числе платежных карт, а также иных технических устройств.</w:t>
      </w:r>
    </w:p>
    <w:p w14:paraId="6F4B62E2" w14:textId="77777777" w:rsidR="00795048" w:rsidRDefault="00862097" w:rsidP="002F1DD2">
      <w:pPr>
        <w:pStyle w:val="1"/>
        <w:shd w:val="clear" w:color="auto" w:fill="auto"/>
        <w:spacing w:line="360" w:lineRule="auto"/>
        <w:ind w:firstLine="740"/>
        <w:jc w:val="both"/>
      </w:pPr>
      <w:r>
        <w:t>Таким образом, по мнению ряда кредитных организаций, транспортная карта на момент ее выдачи оператором АСОП пользователю - физическому лицу не обладает признаками ЭСП, так как не может использоваться для составления, удостоверения и передачи оператору ЭДС распоряжения о переводе ЭДС в целях оплаты проезда за оказанные перевозчиками услуги. Статус ЭСП транспортная карта приобретает только в момент первого пополнения пользователем остатка ЭДС.</w:t>
      </w:r>
    </w:p>
    <w:p w14:paraId="3A1D6F3D" w14:textId="77777777" w:rsidR="00795048" w:rsidRDefault="00862097" w:rsidP="002F1DD2">
      <w:pPr>
        <w:pStyle w:val="1"/>
        <w:shd w:val="clear" w:color="auto" w:fill="auto"/>
        <w:spacing w:line="360" w:lineRule="auto"/>
        <w:ind w:firstLine="720"/>
        <w:jc w:val="both"/>
      </w:pPr>
      <w:r>
        <w:lastRenderedPageBreak/>
        <w:t>В этой связи члены Ассоциации просят сообщить, должен ли оператор АСОП, осуществляющий выдачу транспортных карт пользователям, привлекаться ОПДС в качестве БПА или он может работать без приобретения данного статуса?</w:t>
      </w:r>
    </w:p>
    <w:p w14:paraId="164149CF" w14:textId="77777777" w:rsidR="007D483B" w:rsidRPr="00CE0467" w:rsidRDefault="007D483B" w:rsidP="002F1DD2">
      <w:pPr>
        <w:pStyle w:val="1"/>
        <w:shd w:val="clear" w:color="auto" w:fill="auto"/>
        <w:spacing w:line="360" w:lineRule="auto"/>
        <w:ind w:firstLine="720"/>
        <w:jc w:val="both"/>
        <w:rPr>
          <w:color w:val="auto"/>
        </w:rPr>
      </w:pPr>
      <w:r w:rsidRPr="007D483B">
        <w:rPr>
          <w:b/>
          <w:color w:val="ED7D31" w:themeColor="accent2"/>
        </w:rPr>
        <w:t>ОТВЕТ</w:t>
      </w:r>
      <w:r w:rsidRPr="000F420B">
        <w:rPr>
          <w:b/>
          <w:color w:val="ED7D31" w:themeColor="accent2"/>
        </w:rPr>
        <w:t>:</w:t>
      </w:r>
      <w:r>
        <w:rPr>
          <w:b/>
          <w:color w:val="ED7D31" w:themeColor="accent2"/>
        </w:rPr>
        <w:t xml:space="preserve"> </w:t>
      </w:r>
    </w:p>
    <w:p w14:paraId="61B94B16" w14:textId="77777777" w:rsidR="00D97506" w:rsidRPr="00D97506" w:rsidRDefault="00D97506" w:rsidP="00D9750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7506">
        <w:rPr>
          <w:rFonts w:ascii="Times New Roman" w:hAnsi="Times New Roman"/>
          <w:sz w:val="26"/>
          <w:szCs w:val="26"/>
        </w:rPr>
        <w:t>Вывод о том, что «транспортные карты приобретают статус ЭСП только в момент первого пополнения пользователем остатка ЭДС» представляется необоснованным, поскольку предусмотренные пунктом 19 статьи 3 Закона № 161-ФЗ признаки электронного средства платежа (далее – ЭСП) непосредственно не связаны с наличием (отсутствием) денежных средств, учитываемых оператором электронных денежных средств (далее – ЭДС) в качестве остатка ЭДС клиента.</w:t>
      </w:r>
    </w:p>
    <w:p w14:paraId="1C82705F" w14:textId="77777777" w:rsidR="007D483B" w:rsidRDefault="00D97506" w:rsidP="00D97506">
      <w:pPr>
        <w:pStyle w:val="1"/>
        <w:shd w:val="clear" w:color="auto" w:fill="auto"/>
        <w:spacing w:line="360" w:lineRule="auto"/>
        <w:ind w:firstLine="720"/>
        <w:jc w:val="both"/>
      </w:pPr>
      <w:r w:rsidRPr="00D97506">
        <w:t>Полагаем, что в случае, если транспортные карты на момент их выдачи держателям обладают признаками ЭСП, определенными пунктом 19 статьи 3 Закона № 161-ФЗ, включая наличие договорных отношений между держателем транспортной карты как клиентом и оператором ЭДС, связанных с использованием транспортной карты в качестве ЭСП, то с учетом положений пункта 2 части 1 статьи 14 Закона № 161</w:t>
      </w:r>
      <w:r w:rsidRPr="00D97506">
        <w:noBreakHyphen/>
        <w:t>ФЗ выдача указанных транспортных карт должна осуществляться операторами АСОП в статусе банковского платежного агента.</w:t>
      </w:r>
    </w:p>
    <w:p w14:paraId="531DBD22" w14:textId="77777777" w:rsidR="009D0546" w:rsidRPr="000F420B" w:rsidRDefault="009D0546" w:rsidP="009D0546">
      <w:pPr>
        <w:pStyle w:val="1"/>
        <w:shd w:val="clear" w:color="auto" w:fill="auto"/>
        <w:spacing w:line="360" w:lineRule="auto"/>
        <w:ind w:firstLine="720"/>
        <w:jc w:val="both"/>
      </w:pPr>
    </w:p>
    <w:p w14:paraId="36EDAC46" w14:textId="77777777" w:rsidR="00795048" w:rsidRDefault="00EC0F7C" w:rsidP="002F1DD2">
      <w:pPr>
        <w:pStyle w:val="1"/>
        <w:shd w:val="clear" w:color="auto" w:fill="auto"/>
        <w:tabs>
          <w:tab w:val="left" w:pos="1409"/>
        </w:tabs>
        <w:spacing w:line="360" w:lineRule="auto"/>
        <w:ind w:firstLine="720"/>
        <w:jc w:val="both"/>
      </w:pPr>
      <w:r w:rsidRPr="00EC0F7C">
        <w:rPr>
          <w:b/>
          <w:color w:val="4472C4" w:themeColor="accent5"/>
        </w:rPr>
        <w:t>В</w:t>
      </w:r>
      <w:r>
        <w:rPr>
          <w:b/>
          <w:color w:val="4472C4" w:themeColor="accent5"/>
        </w:rPr>
        <w:t>ОПРОС</w:t>
      </w:r>
      <w:r w:rsidRPr="00EC0F7C">
        <w:rPr>
          <w:b/>
          <w:color w:val="4472C4" w:themeColor="accent5"/>
        </w:rPr>
        <w:t xml:space="preserve"> </w:t>
      </w:r>
      <w:r>
        <w:rPr>
          <w:b/>
          <w:color w:val="4472C4" w:themeColor="accent5"/>
        </w:rPr>
        <w:t>2</w:t>
      </w:r>
      <w:r w:rsidRPr="00EC0F7C">
        <w:rPr>
          <w:b/>
          <w:color w:val="4472C4" w:themeColor="accent5"/>
        </w:rPr>
        <w:t xml:space="preserve">. </w:t>
      </w:r>
      <w:r w:rsidR="00862097">
        <w:t>Письмом ФНС России от 07.12.2023 № КЧ-4-8/15351 «О платежных документах» кредитные организации были проинформированы о необходимости отказа в приеме к исполнению распоряжения плательщика в случае указания в распоряжении некорректного кода бюджетной классификации (КБК). При этом действующим регулированием (Налоговый кодекс Российской Федерации, Закон № 161-ФЗ, Положение № 762-П</w:t>
      </w:r>
      <w:r w:rsidR="00862097">
        <w:rPr>
          <w:vertAlign w:val="superscript"/>
        </w:rPr>
        <w:footnoteReference w:id="3"/>
      </w:r>
      <w:r w:rsidR="00862097">
        <w:t>, Приказ № 107н</w:t>
      </w:r>
      <w:r w:rsidR="00862097">
        <w:rPr>
          <w:vertAlign w:val="superscript"/>
        </w:rPr>
        <w:footnoteReference w:id="4"/>
      </w:r>
      <w:r w:rsidR="00862097">
        <w:t xml:space="preserve">) установлена обязанность кредитных организаций только по осуществлению структурного контроля КБК (его наличия и количества символов), а не контроля за его непосредственным значением. В этой связи члены Ассоциации заинтересованы в получении разъяснений Банка России относительно наличия обязанности у банков по контролю значений КБК и правомерности отказа в приеме к исполнению распоряжения плательщика по причине </w:t>
      </w:r>
      <w:r w:rsidR="00862097">
        <w:lastRenderedPageBreak/>
        <w:t>некорректности КБК.</w:t>
      </w:r>
    </w:p>
    <w:p w14:paraId="56F6DAFC" w14:textId="77777777" w:rsidR="007D483B" w:rsidRPr="0007017B" w:rsidRDefault="007D483B" w:rsidP="002F1DD2">
      <w:pPr>
        <w:pStyle w:val="1"/>
        <w:shd w:val="clear" w:color="auto" w:fill="auto"/>
        <w:spacing w:line="360" w:lineRule="auto"/>
        <w:ind w:firstLine="720"/>
        <w:jc w:val="both"/>
        <w:rPr>
          <w:b/>
        </w:rPr>
      </w:pPr>
      <w:r w:rsidRPr="007D483B">
        <w:rPr>
          <w:b/>
          <w:color w:val="ED7D31" w:themeColor="accent2"/>
        </w:rPr>
        <w:t>ОТВЕТ</w:t>
      </w:r>
      <w:r w:rsidRPr="000F420B">
        <w:rPr>
          <w:b/>
          <w:color w:val="ED7D31" w:themeColor="accent2"/>
        </w:rPr>
        <w:t>:</w:t>
      </w:r>
      <w:r w:rsidR="0007017B">
        <w:rPr>
          <w:b/>
          <w:color w:val="ED7D31" w:themeColor="accent2"/>
        </w:rPr>
        <w:t xml:space="preserve"> </w:t>
      </w:r>
    </w:p>
    <w:p w14:paraId="573BE26B" w14:textId="77777777" w:rsidR="002F1DD2" w:rsidRPr="00E21859" w:rsidRDefault="002F1DD2" w:rsidP="00E218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1859">
        <w:rPr>
          <w:rFonts w:ascii="Times New Roman" w:hAnsi="Times New Roman" w:cs="Times New Roman"/>
          <w:sz w:val="26"/>
          <w:szCs w:val="26"/>
        </w:rPr>
        <w:t>Кредитные организации в соответствии с Положением № 762-П</w:t>
      </w:r>
      <w:r w:rsidRPr="00E21859">
        <w:rPr>
          <w:rStyle w:val="a8"/>
          <w:rFonts w:ascii="Times New Roman" w:hAnsi="Times New Roman" w:cs="Times New Roman"/>
          <w:sz w:val="26"/>
          <w:szCs w:val="26"/>
        </w:rPr>
        <w:footnoteReference w:id="5"/>
      </w:r>
      <w:r w:rsidRPr="00E21859">
        <w:rPr>
          <w:rFonts w:ascii="Times New Roman" w:hAnsi="Times New Roman" w:cs="Times New Roman"/>
          <w:sz w:val="26"/>
          <w:szCs w:val="26"/>
        </w:rPr>
        <w:t xml:space="preserve"> при приеме к исполнению распоряжений о переводе денежных средств в уплату платежей в бюджетную систему Российской Федерации обеспечивают </w:t>
      </w:r>
      <w:r w:rsidRPr="00E21859">
        <w:rPr>
          <w:rFonts w:ascii="Times New Roman" w:eastAsia="Times New Roman" w:hAnsi="Times New Roman" w:cs="Times New Roman"/>
          <w:sz w:val="26"/>
          <w:szCs w:val="26"/>
        </w:rPr>
        <w:t>контроль наличия значений, количества и допустимости символов, в том числе, в реквизите 104, предназначенном для указания КБК, с учетом требований Приказа № 107н.</w:t>
      </w:r>
    </w:p>
    <w:p w14:paraId="2F69F9CA" w14:textId="77777777" w:rsidR="00B76435" w:rsidRDefault="003E4812" w:rsidP="00E218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2 к </w:t>
      </w:r>
      <w:r w:rsidR="00B76435" w:rsidRPr="00E21859">
        <w:rPr>
          <w:rFonts w:ascii="Times New Roman" w:eastAsia="Times New Roman" w:hAnsi="Times New Roman" w:cs="Times New Roman"/>
          <w:sz w:val="26"/>
          <w:szCs w:val="26"/>
        </w:rPr>
        <w:t>Приказ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B76435" w:rsidRPr="00E21859">
        <w:rPr>
          <w:rFonts w:ascii="Times New Roman" w:eastAsia="Times New Roman" w:hAnsi="Times New Roman" w:cs="Times New Roman"/>
          <w:sz w:val="26"/>
          <w:szCs w:val="26"/>
        </w:rPr>
        <w:t xml:space="preserve"> № 107н не содержит конкретных значений КБК, </w:t>
      </w:r>
      <w:r w:rsidR="00E21859" w:rsidRPr="00E21859">
        <w:rPr>
          <w:rFonts w:ascii="Times New Roman" w:eastAsia="Times New Roman" w:hAnsi="Times New Roman" w:cs="Times New Roman"/>
          <w:sz w:val="26"/>
          <w:szCs w:val="26"/>
        </w:rPr>
        <w:t>предназначенных для перечисления платежей,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истрируемых налоговыми органами, при этом устанавливает</w:t>
      </w:r>
      <w:r w:rsidR="00E21859" w:rsidRPr="00E21859">
        <w:rPr>
          <w:rFonts w:ascii="Times New Roman" w:eastAsia="Times New Roman" w:hAnsi="Times New Roman" w:cs="Times New Roman"/>
          <w:sz w:val="26"/>
          <w:szCs w:val="26"/>
        </w:rPr>
        <w:t xml:space="preserve"> единый показатель статуса составителя «01» в реквизите 101 распоряжения для единого налогового платежа</w:t>
      </w:r>
      <w:r w:rsidR="00BE6A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6AF0" w:rsidRPr="00BE6AF0">
        <w:rPr>
          <w:rFonts w:ascii="Times New Roman" w:eastAsia="Times New Roman" w:hAnsi="Times New Roman" w:cs="Times New Roman"/>
          <w:sz w:val="26"/>
          <w:szCs w:val="26"/>
        </w:rPr>
        <w:t>(далее – ЕНП)</w:t>
      </w:r>
      <w:r w:rsidR="00E21859" w:rsidRPr="00E21859">
        <w:rPr>
          <w:rFonts w:ascii="Times New Roman" w:eastAsia="Times New Roman" w:hAnsi="Times New Roman" w:cs="Times New Roman"/>
          <w:sz w:val="26"/>
          <w:szCs w:val="26"/>
        </w:rPr>
        <w:t xml:space="preserve"> и иных платежей, администрируемых налоговыми органами.</w:t>
      </w:r>
    </w:p>
    <w:p w14:paraId="0FA088D6" w14:textId="74F77AF8" w:rsidR="000B28AB" w:rsidRDefault="000B28AB" w:rsidP="00E218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 ФНС России письмом от 26.03.2024 № </w:t>
      </w:r>
      <w:r w:rsidRPr="000B28AB">
        <w:rPr>
          <w:rFonts w:ascii="Times New Roman" w:eastAsia="Times New Roman" w:hAnsi="Times New Roman" w:cs="Times New Roman"/>
          <w:sz w:val="26"/>
          <w:szCs w:val="26"/>
        </w:rPr>
        <w:t>БВ-4-8/3386@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в рамках совещания 16.04.2024 довел информацию о </w:t>
      </w:r>
      <w:r w:rsidR="007C4507">
        <w:rPr>
          <w:rFonts w:ascii="Times New Roman" w:eastAsia="Times New Roman" w:hAnsi="Times New Roman" w:cs="Times New Roman"/>
          <w:sz w:val="26"/>
          <w:szCs w:val="26"/>
        </w:rPr>
        <w:t>значительном количестве случаев перечисления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ЕНП с указанием </w:t>
      </w:r>
      <w:r w:rsidRPr="00BE6AF0">
        <w:rPr>
          <w:rFonts w:ascii="Times New Roman" w:eastAsia="Times New Roman" w:hAnsi="Times New Roman" w:cs="Times New Roman"/>
          <w:sz w:val="26"/>
          <w:szCs w:val="26"/>
        </w:rPr>
        <w:t xml:space="preserve">плательщиками в реквизите 104 </w:t>
      </w:r>
      <w:r>
        <w:rPr>
          <w:rFonts w:ascii="Times New Roman" w:eastAsia="Times New Roman" w:hAnsi="Times New Roman" w:cs="Times New Roman"/>
          <w:sz w:val="26"/>
          <w:szCs w:val="26"/>
        </w:rPr>
        <w:t>значения КБК</w:t>
      </w:r>
      <w:r w:rsidRPr="00BE6AF0">
        <w:rPr>
          <w:rFonts w:ascii="Times New Roman" w:eastAsia="Times New Roman" w:hAnsi="Times New Roman" w:cs="Times New Roman"/>
          <w:sz w:val="26"/>
          <w:szCs w:val="26"/>
        </w:rPr>
        <w:t xml:space="preserve"> конкретного налога, отличного от КБК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ЕНП, </w:t>
      </w:r>
      <w:r w:rsidR="007C4507">
        <w:rPr>
          <w:rFonts w:ascii="Times New Roman" w:eastAsia="Times New Roman" w:hAnsi="Times New Roman" w:cs="Times New Roman"/>
          <w:sz w:val="26"/>
          <w:szCs w:val="26"/>
        </w:rPr>
        <w:t>что приводит к ошибкам в учете налоговых платежей.</w:t>
      </w:r>
    </w:p>
    <w:p w14:paraId="1CAE340A" w14:textId="7A1E3F40" w:rsidR="00683B72" w:rsidRDefault="00683B72" w:rsidP="00E218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этом же письме ФНС</w:t>
      </w:r>
      <w:r w:rsidR="006C6672">
        <w:rPr>
          <w:rFonts w:ascii="Times New Roman" w:eastAsia="Times New Roman" w:hAnsi="Times New Roman" w:cs="Times New Roman"/>
          <w:sz w:val="26"/>
          <w:szCs w:val="26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указал конкретн</w:t>
      </w:r>
      <w:r w:rsidR="006F3811">
        <w:rPr>
          <w:rFonts w:ascii="Times New Roman" w:eastAsia="Times New Roman" w:hAnsi="Times New Roman" w:cs="Times New Roman"/>
          <w:sz w:val="26"/>
          <w:szCs w:val="26"/>
        </w:rPr>
        <w:t>ое значение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ЕНП</w:t>
      </w:r>
      <w:r w:rsidR="006F3811">
        <w:rPr>
          <w:rStyle w:val="a8"/>
          <w:rFonts w:ascii="Times New Roman" w:eastAsia="Times New Roman" w:hAnsi="Times New Roman" w:cs="Times New Roman"/>
          <w:sz w:val="26"/>
          <w:szCs w:val="26"/>
        </w:rPr>
        <w:footnoteReference w:id="6"/>
      </w:r>
      <w:r w:rsidR="006F3811">
        <w:rPr>
          <w:rFonts w:ascii="Times New Roman" w:eastAsia="Times New Roman" w:hAnsi="Times New Roman" w:cs="Times New Roman"/>
          <w:sz w:val="26"/>
          <w:szCs w:val="26"/>
        </w:rPr>
        <w:t>, а также сообщил об истечении с 01.01.2024 переходного периода, в рамках которого применялись платежные поручения как уведомления об исчисленных налоговых платежах с указанием в реквизите 101 статуса «02», а в реквизите 104 значения КБК</w:t>
      </w:r>
      <w:r w:rsidR="006F3811" w:rsidRPr="00BE6AF0">
        <w:rPr>
          <w:rFonts w:ascii="Times New Roman" w:eastAsia="Times New Roman" w:hAnsi="Times New Roman" w:cs="Times New Roman"/>
          <w:sz w:val="26"/>
          <w:szCs w:val="26"/>
        </w:rPr>
        <w:t xml:space="preserve"> конкретного налога, отличного от КБК </w:t>
      </w:r>
      <w:r w:rsidR="006F3811">
        <w:rPr>
          <w:rFonts w:ascii="Times New Roman" w:eastAsia="Times New Roman" w:hAnsi="Times New Roman" w:cs="Times New Roman"/>
          <w:sz w:val="26"/>
          <w:szCs w:val="26"/>
        </w:rPr>
        <w:t>ЕНП</w:t>
      </w:r>
      <w:r w:rsidR="006F3811">
        <w:rPr>
          <w:rStyle w:val="a8"/>
          <w:rFonts w:ascii="Times New Roman" w:eastAsia="Times New Roman" w:hAnsi="Times New Roman" w:cs="Times New Roman"/>
          <w:sz w:val="26"/>
          <w:szCs w:val="26"/>
        </w:rPr>
        <w:footnoteReference w:id="7"/>
      </w:r>
      <w:r w:rsidR="006F381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0F233F" w14:textId="77777777" w:rsidR="007C4507" w:rsidRDefault="007C4507" w:rsidP="00E218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этим рекомендуем кредитным организациям – членам Ассоциации «Россия» провести разъяснительную работу с клиентами о необходимости указания значения КБК ЕНП при уплате ЕНП и уточнения значения КБК в ранее направленных распоряжениях, в том числе длительных</w:t>
      </w:r>
      <w:r w:rsidRPr="00BE6A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3D9A36" w14:textId="31BBDEA3" w:rsidR="00FA31E9" w:rsidRDefault="007C4507" w:rsidP="007C450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обеспечения </w:t>
      </w:r>
      <w:r w:rsidRPr="007C4507">
        <w:rPr>
          <w:rFonts w:ascii="Times New Roman" w:eastAsia="Times New Roman" w:hAnsi="Times New Roman" w:cs="Times New Roman"/>
          <w:sz w:val="26"/>
          <w:szCs w:val="26"/>
        </w:rPr>
        <w:t>автоматизации процедур контроля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ЕНП</w:t>
      </w:r>
      <w:r w:rsidRPr="007C4507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кредитных организациях Банком России совместно с ФНС России в настоящее время прорабатывается вопрос внесения соответствующих изменений в Приказ № 107н.</w:t>
      </w:r>
    </w:p>
    <w:p w14:paraId="4A51AACF" w14:textId="77777777" w:rsidR="007D483B" w:rsidRDefault="007D483B" w:rsidP="003E4812">
      <w:pPr>
        <w:pStyle w:val="1"/>
        <w:shd w:val="clear" w:color="auto" w:fill="auto"/>
        <w:tabs>
          <w:tab w:val="left" w:pos="1409"/>
        </w:tabs>
        <w:spacing w:line="360" w:lineRule="auto"/>
        <w:ind w:firstLine="0"/>
        <w:jc w:val="both"/>
      </w:pPr>
    </w:p>
    <w:p w14:paraId="3A12B2F2" w14:textId="77777777" w:rsidR="00795048" w:rsidRDefault="00EC0F7C" w:rsidP="002F1DD2">
      <w:pPr>
        <w:pStyle w:val="1"/>
        <w:shd w:val="clear" w:color="auto" w:fill="auto"/>
        <w:tabs>
          <w:tab w:val="left" w:pos="1409"/>
        </w:tabs>
        <w:spacing w:line="360" w:lineRule="auto"/>
        <w:ind w:firstLine="720"/>
        <w:jc w:val="both"/>
      </w:pPr>
      <w:r w:rsidRPr="00EC0F7C">
        <w:rPr>
          <w:b/>
          <w:color w:val="4472C4" w:themeColor="accent5"/>
        </w:rPr>
        <w:lastRenderedPageBreak/>
        <w:t>В</w:t>
      </w:r>
      <w:r>
        <w:rPr>
          <w:b/>
          <w:color w:val="4472C4" w:themeColor="accent5"/>
        </w:rPr>
        <w:t>ОПРОС</w:t>
      </w:r>
      <w:r w:rsidRPr="00EC0F7C">
        <w:rPr>
          <w:b/>
          <w:color w:val="4472C4" w:themeColor="accent5"/>
        </w:rPr>
        <w:t xml:space="preserve"> </w:t>
      </w:r>
      <w:r>
        <w:rPr>
          <w:b/>
          <w:color w:val="4472C4" w:themeColor="accent5"/>
        </w:rPr>
        <w:t>3</w:t>
      </w:r>
      <w:r w:rsidRPr="00EC0F7C">
        <w:rPr>
          <w:b/>
          <w:color w:val="4472C4" w:themeColor="accent5"/>
        </w:rPr>
        <w:t xml:space="preserve">. </w:t>
      </w:r>
      <w:r w:rsidR="00862097">
        <w:t>Кредитные организации просят сообщить, распространяется ли запрет на взимание комиссионного вознаграждения за осуществление перевода денежных средств в размере в совокупности ежемесячно не более 30 миллионов рублей между счетами одного физического лица</w:t>
      </w:r>
      <w:r w:rsidR="00862097">
        <w:rPr>
          <w:vertAlign w:val="superscript"/>
        </w:rPr>
        <w:footnoteReference w:id="8"/>
      </w:r>
      <w:r w:rsidR="00862097">
        <w:t xml:space="preserve"> на переводы по сценарию </w:t>
      </w:r>
      <w:r w:rsidR="00862097">
        <w:rPr>
          <w:lang w:val="en-US" w:eastAsia="en-US" w:bidi="en-US"/>
        </w:rPr>
        <w:t>me</w:t>
      </w:r>
      <w:r w:rsidR="00862097" w:rsidRPr="00EC0F7C">
        <w:rPr>
          <w:lang w:eastAsia="en-US" w:bidi="en-US"/>
        </w:rPr>
        <w:t>2</w:t>
      </w:r>
      <w:r w:rsidR="00862097">
        <w:rPr>
          <w:lang w:val="en-US" w:eastAsia="en-US" w:bidi="en-US"/>
        </w:rPr>
        <w:t>me</w:t>
      </w:r>
      <w:r w:rsidR="00862097" w:rsidRPr="00EC0F7C">
        <w:rPr>
          <w:lang w:eastAsia="en-US" w:bidi="en-US"/>
        </w:rPr>
        <w:t xml:space="preserve"> </w:t>
      </w:r>
      <w:r w:rsidR="00862097">
        <w:t>в рамках трансграничного перевода денежных средств в Системе быстрых платежей Банка России</w:t>
      </w:r>
      <w:r w:rsidR="003F4B4D">
        <w:t xml:space="preserve"> (далее – СБП)</w:t>
      </w:r>
      <w:r w:rsidR="00862097">
        <w:t>?</w:t>
      </w:r>
    </w:p>
    <w:p w14:paraId="7A67CF64" w14:textId="77777777" w:rsidR="007D483B" w:rsidRPr="0007017B" w:rsidRDefault="007D483B" w:rsidP="003353E0">
      <w:pPr>
        <w:pStyle w:val="1"/>
        <w:shd w:val="clear" w:color="auto" w:fill="auto"/>
        <w:spacing w:line="360" w:lineRule="auto"/>
        <w:ind w:firstLine="720"/>
        <w:jc w:val="both"/>
        <w:rPr>
          <w:b/>
        </w:rPr>
      </w:pPr>
      <w:r w:rsidRPr="007D483B">
        <w:rPr>
          <w:b/>
          <w:color w:val="ED7D31" w:themeColor="accent2"/>
        </w:rPr>
        <w:t>ОТВЕТ</w:t>
      </w:r>
      <w:r w:rsidRPr="0007017B">
        <w:rPr>
          <w:b/>
          <w:color w:val="ED7D31" w:themeColor="accent2"/>
        </w:rPr>
        <w:t>:</w:t>
      </w:r>
      <w:r w:rsidR="0007017B">
        <w:rPr>
          <w:b/>
          <w:color w:val="ED7D31" w:themeColor="accent2"/>
        </w:rPr>
        <w:t xml:space="preserve"> </w:t>
      </w:r>
    </w:p>
    <w:p w14:paraId="7B8C3B97" w14:textId="77777777" w:rsidR="003353E0" w:rsidRDefault="003353E0" w:rsidP="003353E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3E0">
        <w:rPr>
          <w:rFonts w:ascii="Times New Roman" w:hAnsi="Times New Roman" w:cs="Times New Roman"/>
          <w:sz w:val="26"/>
          <w:szCs w:val="26"/>
        </w:rPr>
        <w:t xml:space="preserve">В соответствии с частью 5 статьи 29 Федерального закона «О банках и банковской деятельности» в редакции Федерального закона от 04.08.2023 № 482-ФЗ </w:t>
      </w:r>
      <w:r w:rsidR="003F4B4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353E0">
        <w:rPr>
          <w:rFonts w:ascii="Times New Roman" w:eastAsia="Times New Roman" w:hAnsi="Times New Roman" w:cs="Times New Roman"/>
          <w:sz w:val="26"/>
          <w:szCs w:val="26"/>
        </w:rPr>
        <w:t xml:space="preserve">редитная организация не вправе взимать комиссионное вознаграждение за осуществление по поручению физического лица операций по переводу денежных средств в рублях в </w:t>
      </w:r>
      <w:r w:rsidRPr="003F4B4D">
        <w:rPr>
          <w:rFonts w:ascii="Times New Roman" w:eastAsia="Times New Roman" w:hAnsi="Times New Roman" w:cs="Times New Roman"/>
          <w:sz w:val="26"/>
          <w:szCs w:val="26"/>
        </w:rPr>
        <w:t>размере в совокупности ежемесячно не более 30 млн рублей с банковского счета (вклада) физического лица, открытого в этой кредитной организации, на банковский счет (вклад) указанного физического лица, открытый в другой кредитной организации, или специальный счет оператора финансовой платформы, бенефициаром по которому выступает указанное физическое лицо</w:t>
      </w:r>
      <w:r w:rsidR="003F4B4D">
        <w:rPr>
          <w:rFonts w:ascii="Times New Roman" w:eastAsia="Times New Roman" w:hAnsi="Times New Roman" w:cs="Times New Roman"/>
          <w:sz w:val="26"/>
          <w:szCs w:val="26"/>
        </w:rPr>
        <w:t xml:space="preserve"> (далее – переводы самому себе)</w:t>
      </w:r>
      <w:r w:rsidRPr="003353E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DD71142" w14:textId="77777777" w:rsidR="00DA2C8F" w:rsidRDefault="00DA2C8F" w:rsidP="00DA2C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2C8F">
        <w:rPr>
          <w:rFonts w:ascii="Times New Roman" w:eastAsia="Times New Roman" w:hAnsi="Times New Roman" w:cs="Times New Roman"/>
          <w:sz w:val="26"/>
          <w:szCs w:val="26"/>
        </w:rPr>
        <w:t>Таким образом, вышеуказанная норма распространяется на переводы самому себе на территории Российской Федерации.</w:t>
      </w:r>
    </w:p>
    <w:p w14:paraId="4EBDDF20" w14:textId="77777777" w:rsidR="007D483B" w:rsidRDefault="007D483B" w:rsidP="002F1DD2">
      <w:pPr>
        <w:pStyle w:val="1"/>
        <w:shd w:val="clear" w:color="auto" w:fill="auto"/>
        <w:tabs>
          <w:tab w:val="left" w:pos="1409"/>
        </w:tabs>
        <w:spacing w:line="360" w:lineRule="auto"/>
        <w:ind w:firstLine="720"/>
        <w:jc w:val="both"/>
      </w:pPr>
    </w:p>
    <w:p w14:paraId="6525B9C5" w14:textId="77777777" w:rsidR="00795048" w:rsidRDefault="00EC0F7C" w:rsidP="002F1DD2">
      <w:pPr>
        <w:pStyle w:val="1"/>
        <w:shd w:val="clear" w:color="auto" w:fill="auto"/>
        <w:tabs>
          <w:tab w:val="left" w:pos="1402"/>
        </w:tabs>
        <w:spacing w:line="360" w:lineRule="auto"/>
        <w:ind w:firstLine="740"/>
        <w:jc w:val="both"/>
      </w:pPr>
      <w:r w:rsidRPr="00EC0F7C">
        <w:rPr>
          <w:b/>
          <w:color w:val="4472C4" w:themeColor="accent5"/>
        </w:rPr>
        <w:t>В</w:t>
      </w:r>
      <w:r>
        <w:rPr>
          <w:b/>
          <w:color w:val="4472C4" w:themeColor="accent5"/>
        </w:rPr>
        <w:t>ОПРОС</w:t>
      </w:r>
      <w:r w:rsidRPr="00EC0F7C">
        <w:rPr>
          <w:b/>
          <w:color w:val="4472C4" w:themeColor="accent5"/>
        </w:rPr>
        <w:t xml:space="preserve"> </w:t>
      </w:r>
      <w:r>
        <w:rPr>
          <w:b/>
          <w:color w:val="4472C4" w:themeColor="accent5"/>
        </w:rPr>
        <w:t>4</w:t>
      </w:r>
      <w:r w:rsidRPr="00EC0F7C">
        <w:rPr>
          <w:b/>
          <w:color w:val="4472C4" w:themeColor="accent5"/>
        </w:rPr>
        <w:t xml:space="preserve">. </w:t>
      </w:r>
      <w:r w:rsidR="00862097">
        <w:t>В настоящее время Законом № 161-ФЗ регламентирован порядок внесения изменений в правила платежных систем. В частности, платежные системы обязаны обеспечить возможность ознакомления с изменениями в правила в течение одного месяца и вводить их в действие не ранее одного месяца с момента окончания срока ознакомления. При этом в отношении стандартов платежных систем, которые фактически являются неотъемлемой частью правил, такой порядок внесения изменений не предусмотрен.</w:t>
      </w:r>
    </w:p>
    <w:p w14:paraId="7354B106" w14:textId="77777777" w:rsidR="00795048" w:rsidRDefault="00862097" w:rsidP="002F1DD2">
      <w:pPr>
        <w:pStyle w:val="1"/>
        <w:shd w:val="clear" w:color="auto" w:fill="auto"/>
        <w:spacing w:line="360" w:lineRule="auto"/>
        <w:ind w:firstLine="740"/>
        <w:jc w:val="both"/>
      </w:pPr>
      <w:r>
        <w:t xml:space="preserve">Такая разница подходов приводит к тому, что ряд требований к участникам платежной системы, в том числе требующих существенных ресурсов для реализации, вводятся посредством внесения изменений в стандарты, что исключает возможность их обсуждения как в содержательной части, так и в части сроков вступления в силу. Нередко такие изменения становятся для кредитных организаций неожиданными, а </w:t>
      </w:r>
      <w:r>
        <w:lastRenderedPageBreak/>
        <w:t>затраты на их реализацию несоизмеримыми с эффектом от внедрения.</w:t>
      </w:r>
    </w:p>
    <w:p w14:paraId="13183A0E" w14:textId="77777777" w:rsidR="00795048" w:rsidRDefault="00862097" w:rsidP="002F1DD2">
      <w:pPr>
        <w:pStyle w:val="1"/>
        <w:shd w:val="clear" w:color="auto" w:fill="auto"/>
        <w:spacing w:line="360" w:lineRule="auto"/>
        <w:ind w:firstLine="740"/>
        <w:jc w:val="both"/>
      </w:pPr>
      <w:r>
        <w:t>В этой связи члены Ассоциации просят Банк России рассмотреть возможность закрепления в отношении стандартов того же порядка внесения изменений, который действует в отношении правил платежных систем. Такой подход позволит участникам платежной системы лучше планировать процесс внесения изменений и оптимизировать нагрузку при их внедрении.</w:t>
      </w:r>
    </w:p>
    <w:p w14:paraId="2377DCC4" w14:textId="77777777" w:rsidR="007D483B" w:rsidRPr="0007017B" w:rsidRDefault="007D483B" w:rsidP="002F1DD2">
      <w:pPr>
        <w:pStyle w:val="1"/>
        <w:shd w:val="clear" w:color="auto" w:fill="auto"/>
        <w:spacing w:line="360" w:lineRule="auto"/>
        <w:ind w:firstLine="720"/>
        <w:jc w:val="both"/>
        <w:rPr>
          <w:b/>
        </w:rPr>
      </w:pPr>
      <w:r w:rsidRPr="007D483B">
        <w:rPr>
          <w:b/>
          <w:color w:val="ED7D31" w:themeColor="accent2"/>
        </w:rPr>
        <w:t>ОТВЕТ</w:t>
      </w:r>
      <w:r w:rsidRPr="000F420B">
        <w:rPr>
          <w:b/>
          <w:color w:val="ED7D31" w:themeColor="accent2"/>
        </w:rPr>
        <w:t>:</w:t>
      </w:r>
      <w:r w:rsidR="0007017B" w:rsidRPr="000F420B">
        <w:rPr>
          <w:b/>
          <w:color w:val="ED7D31" w:themeColor="accent2"/>
        </w:rPr>
        <w:t xml:space="preserve"> </w:t>
      </w:r>
    </w:p>
    <w:p w14:paraId="485D0F17" w14:textId="77777777" w:rsidR="00F5226C" w:rsidRDefault="00F5226C" w:rsidP="00F5226C">
      <w:pPr>
        <w:pStyle w:val="1"/>
        <w:spacing w:line="360" w:lineRule="auto"/>
        <w:ind w:firstLine="740"/>
        <w:jc w:val="both"/>
      </w:pPr>
      <w:r>
        <w:t>Закон № 161-ФЗ не содержит требований к стандартам платежной системы. В свою очередь правила платежной системы являются договором, который согласно части первой статьи 20 Закона №</w:t>
      </w:r>
      <w:r w:rsidR="004107A9">
        <w:t> </w:t>
      </w:r>
      <w:r>
        <w:t xml:space="preserve">161-ФЗ должен содержать все положения, необходимые для обеспечения функционирования платежной системы </w:t>
      </w:r>
    </w:p>
    <w:p w14:paraId="3518AE90" w14:textId="77777777" w:rsidR="00F5226C" w:rsidRDefault="00F5226C" w:rsidP="00F5226C">
      <w:pPr>
        <w:pStyle w:val="1"/>
        <w:spacing w:line="360" w:lineRule="auto"/>
        <w:ind w:firstLine="740"/>
        <w:jc w:val="both"/>
      </w:pPr>
      <w:r>
        <w:t>Таким образом, в случае, если стандартами платежной системы устанавливаются требования, направленные на обеспечение функционирования платежной системы, такие стандарты являются составной частью правил платежной системы, и на них распространяются требования о порядке внесения в них изменений, установленные частью 8 статьи 20 Закона №</w:t>
      </w:r>
      <w:r w:rsidR="004107A9">
        <w:t> </w:t>
      </w:r>
      <w:r>
        <w:t>161-ФЗ.</w:t>
      </w:r>
    </w:p>
    <w:p w14:paraId="0EED8F8D" w14:textId="77777777" w:rsidR="004107A9" w:rsidRDefault="004107A9" w:rsidP="00F5226C">
      <w:pPr>
        <w:pStyle w:val="1"/>
        <w:spacing w:line="360" w:lineRule="auto"/>
        <w:ind w:firstLine="740"/>
        <w:jc w:val="both"/>
      </w:pPr>
    </w:p>
    <w:p w14:paraId="4AA8C167" w14:textId="77777777" w:rsidR="00795048" w:rsidRDefault="00EC0F7C" w:rsidP="002F1DD2">
      <w:pPr>
        <w:pStyle w:val="1"/>
        <w:shd w:val="clear" w:color="auto" w:fill="auto"/>
        <w:tabs>
          <w:tab w:val="left" w:pos="1402"/>
        </w:tabs>
        <w:spacing w:line="360" w:lineRule="auto"/>
        <w:ind w:firstLine="709"/>
        <w:jc w:val="both"/>
      </w:pPr>
      <w:r w:rsidRPr="00EC0F7C">
        <w:rPr>
          <w:b/>
          <w:color w:val="4472C4" w:themeColor="accent5"/>
        </w:rPr>
        <w:t>В</w:t>
      </w:r>
      <w:r>
        <w:rPr>
          <w:b/>
          <w:color w:val="4472C4" w:themeColor="accent5"/>
        </w:rPr>
        <w:t>ОПРОС</w:t>
      </w:r>
      <w:r w:rsidRPr="00EC0F7C">
        <w:rPr>
          <w:b/>
          <w:color w:val="4472C4" w:themeColor="accent5"/>
        </w:rPr>
        <w:t xml:space="preserve"> </w:t>
      </w:r>
      <w:r>
        <w:rPr>
          <w:b/>
          <w:color w:val="4472C4" w:themeColor="accent5"/>
        </w:rPr>
        <w:t>5</w:t>
      </w:r>
      <w:r w:rsidRPr="00EC0F7C">
        <w:rPr>
          <w:b/>
          <w:color w:val="4472C4" w:themeColor="accent5"/>
        </w:rPr>
        <w:t xml:space="preserve">. </w:t>
      </w:r>
      <w:r w:rsidR="00862097">
        <w:t>Кредитные организации сообщают о сложностях в работе, связанных с одновременным внедрением нескольких обновлений в Альбом УФЭБС</w:t>
      </w:r>
      <w:r w:rsidR="00862097">
        <w:rPr>
          <w:vertAlign w:val="superscript"/>
        </w:rPr>
        <w:footnoteReference w:id="9"/>
      </w:r>
      <w:r w:rsidR="00862097">
        <w:t xml:space="preserve"> за короткий промежуток времени (например, коды контроля в Альбоме УФЭБС 2023.4.1 вводились в две даты - 25.09.2023 и 01.10.2023). Такой подход усложняет и удорожает реализацию доработок программного обеспечения (ПО), а также создает сложности для клиентов в связи с изменением правил приема платежей в разные даты.</w:t>
      </w:r>
    </w:p>
    <w:p w14:paraId="47107A90" w14:textId="77777777" w:rsidR="00795048" w:rsidRDefault="00862097" w:rsidP="002F1DD2">
      <w:pPr>
        <w:pStyle w:val="1"/>
        <w:shd w:val="clear" w:color="auto" w:fill="auto"/>
        <w:spacing w:line="360" w:lineRule="auto"/>
        <w:ind w:firstLine="720"/>
        <w:jc w:val="both"/>
      </w:pPr>
      <w:r>
        <w:t xml:space="preserve">В этой связи при планировании нескольких изменений в Альбоме УФЭБС предлагается устанавливать единую дату их вступления в силу в целях оптимизации работ по </w:t>
      </w:r>
      <w:proofErr w:type="spellStart"/>
      <w:r>
        <w:t>донастройке</w:t>
      </w:r>
      <w:proofErr w:type="spellEnd"/>
      <w:r>
        <w:t xml:space="preserve"> внутрибанковских систем, снижения трудозатрат кредитных организаций, а также минимизации рисков при внедрении обновлений. Кроме того, кредитные организации просят по возможности не планировать вступление в силу таких изменений в конце года, когда в связи с сезонным повышением операционной активности клиентов значительно увеличиваются последствия от возможных ошибок.</w:t>
      </w:r>
    </w:p>
    <w:p w14:paraId="5E3AC099" w14:textId="77777777" w:rsidR="007D483B" w:rsidRPr="0007017B" w:rsidRDefault="007D483B" w:rsidP="002F1DD2">
      <w:pPr>
        <w:pStyle w:val="1"/>
        <w:shd w:val="clear" w:color="auto" w:fill="auto"/>
        <w:spacing w:line="360" w:lineRule="auto"/>
        <w:ind w:firstLine="720"/>
        <w:jc w:val="both"/>
        <w:rPr>
          <w:b/>
        </w:rPr>
      </w:pPr>
      <w:r w:rsidRPr="007D483B">
        <w:rPr>
          <w:b/>
          <w:color w:val="ED7D31" w:themeColor="accent2"/>
        </w:rPr>
        <w:t>ОТВЕТ</w:t>
      </w:r>
      <w:r w:rsidRPr="000F420B">
        <w:rPr>
          <w:b/>
          <w:color w:val="ED7D31" w:themeColor="accent2"/>
        </w:rPr>
        <w:t>:</w:t>
      </w:r>
      <w:r w:rsidR="0007017B">
        <w:rPr>
          <w:b/>
          <w:color w:val="ED7D31" w:themeColor="accent2"/>
        </w:rPr>
        <w:t xml:space="preserve"> </w:t>
      </w:r>
    </w:p>
    <w:p w14:paraId="0EFBA911" w14:textId="77777777" w:rsidR="007D483B" w:rsidRDefault="00704EE4" w:rsidP="002F1DD2">
      <w:pPr>
        <w:pStyle w:val="1"/>
        <w:shd w:val="clear" w:color="auto" w:fill="auto"/>
        <w:spacing w:line="360" w:lineRule="auto"/>
        <w:ind w:firstLine="720"/>
        <w:jc w:val="both"/>
      </w:pPr>
      <w:r>
        <w:t xml:space="preserve">Сроки вступления в силу изменений, вносимых в Альбом УФЭБС, </w:t>
      </w:r>
      <w:r>
        <w:lastRenderedPageBreak/>
        <w:t>устанавливаются с учетом сроков вступления в силу Федеральных законов и иных нормативно-правовых актов. При этом в соответствии с подпунктом 5.2.1 пункта 5.2 главы 5 Положения Банка России от 24.09.2020 № 732-П «О платежной системе Банка России» и</w:t>
      </w:r>
      <w:r w:rsidRPr="00D07862">
        <w:t xml:space="preserve">зменения в </w:t>
      </w:r>
      <w:r>
        <w:t>указанный Альбом</w:t>
      </w:r>
      <w:r w:rsidRPr="00D07862">
        <w:t xml:space="preserve"> вводятся в действие не ранее трех месяцев после дня </w:t>
      </w:r>
      <w:r>
        <w:t xml:space="preserve">их </w:t>
      </w:r>
      <w:r w:rsidRPr="00D07862">
        <w:t>размещения на официальном сайте Банка России.</w:t>
      </w:r>
      <w:r>
        <w:t xml:space="preserve"> С учетом этого, установление нескольких сроков вступления в силу в рамках одной версии Альбома в ряде случаев является необходимостью для обеспечения исполнения требований законодательства.</w:t>
      </w:r>
    </w:p>
    <w:p w14:paraId="6791B1D6" w14:textId="77777777" w:rsidR="00704EE4" w:rsidRDefault="00704EE4" w:rsidP="002F1DD2">
      <w:pPr>
        <w:pStyle w:val="1"/>
        <w:shd w:val="clear" w:color="auto" w:fill="auto"/>
        <w:spacing w:line="360" w:lineRule="auto"/>
        <w:ind w:firstLine="720"/>
        <w:jc w:val="both"/>
      </w:pPr>
    </w:p>
    <w:p w14:paraId="5B605594" w14:textId="77777777" w:rsidR="00795048" w:rsidRDefault="00EC0F7C" w:rsidP="002F1DD2">
      <w:pPr>
        <w:pStyle w:val="1"/>
        <w:shd w:val="clear" w:color="auto" w:fill="auto"/>
        <w:tabs>
          <w:tab w:val="left" w:pos="1397"/>
        </w:tabs>
        <w:spacing w:line="360" w:lineRule="auto"/>
        <w:ind w:firstLine="709"/>
        <w:jc w:val="both"/>
      </w:pPr>
      <w:r w:rsidRPr="00EC0F7C">
        <w:rPr>
          <w:b/>
          <w:color w:val="4472C4" w:themeColor="accent5"/>
        </w:rPr>
        <w:t>В</w:t>
      </w:r>
      <w:r>
        <w:rPr>
          <w:b/>
          <w:color w:val="4472C4" w:themeColor="accent5"/>
        </w:rPr>
        <w:t>ОПРОС</w:t>
      </w:r>
      <w:r w:rsidRPr="00EC0F7C">
        <w:rPr>
          <w:b/>
          <w:color w:val="4472C4" w:themeColor="accent5"/>
        </w:rPr>
        <w:t xml:space="preserve"> </w:t>
      </w:r>
      <w:r>
        <w:rPr>
          <w:b/>
          <w:color w:val="4472C4" w:themeColor="accent5"/>
        </w:rPr>
        <w:t>6</w:t>
      </w:r>
      <w:r w:rsidRPr="00EC0F7C">
        <w:rPr>
          <w:b/>
          <w:color w:val="4472C4" w:themeColor="accent5"/>
        </w:rPr>
        <w:t xml:space="preserve">. </w:t>
      </w:r>
      <w:r w:rsidR="00862097">
        <w:t>Члены Ассоциации сообщают, что в настоящее время основной сложностью при подключении зарубежных банков к Системе передачи финансовых сообщений (СПФС) является необходимость личного получения их представителями ПО СКАД «Сигнатура» и сертификатов ключей электронной цифровой подписи в Банке России. В целях популяризации и упрощения использования СПФС зарубежными финансовыми организациями (в первую очередь, из дружественных стран) предлагается разработать механизмы получения ими указанного ПО на базе центрального банка своей страны.</w:t>
      </w:r>
    </w:p>
    <w:p w14:paraId="19BFEBC1" w14:textId="77777777" w:rsidR="007D483B" w:rsidRPr="00CE0467" w:rsidRDefault="007D483B" w:rsidP="002F1DD2">
      <w:pPr>
        <w:pStyle w:val="1"/>
        <w:shd w:val="clear" w:color="auto" w:fill="auto"/>
        <w:spacing w:line="360" w:lineRule="auto"/>
        <w:ind w:firstLine="720"/>
        <w:jc w:val="both"/>
        <w:rPr>
          <w:b/>
        </w:rPr>
      </w:pPr>
      <w:r w:rsidRPr="007D483B">
        <w:rPr>
          <w:b/>
          <w:color w:val="ED7D31" w:themeColor="accent2"/>
        </w:rPr>
        <w:t>ОТВЕТ</w:t>
      </w:r>
      <w:r w:rsidRPr="000F420B">
        <w:rPr>
          <w:b/>
          <w:color w:val="ED7D31" w:themeColor="accent2"/>
        </w:rPr>
        <w:t>:</w:t>
      </w:r>
      <w:r w:rsidR="00CE0467">
        <w:rPr>
          <w:b/>
          <w:color w:val="ED7D31" w:themeColor="accent2"/>
        </w:rPr>
        <w:t xml:space="preserve"> </w:t>
      </w:r>
    </w:p>
    <w:p w14:paraId="72C40E8C" w14:textId="64E7C7AE" w:rsidR="007D483B" w:rsidRDefault="0025723D" w:rsidP="002F1DD2">
      <w:pPr>
        <w:pStyle w:val="1"/>
        <w:shd w:val="clear" w:color="auto" w:fill="auto"/>
        <w:tabs>
          <w:tab w:val="left" w:pos="1397"/>
        </w:tabs>
        <w:spacing w:line="360" w:lineRule="auto"/>
        <w:ind w:firstLine="709"/>
        <w:jc w:val="both"/>
      </w:pPr>
      <w:r w:rsidRPr="0025723D">
        <w:t xml:space="preserve">При подключении к СПФС с использованием выделенного канала связи и заключением соответствующего договора оказания услуг СПФС с Банком России необходимое программное обеспечение предоставляется Банком России. </w:t>
      </w:r>
      <w:r w:rsidR="004152B2" w:rsidRPr="004152B2">
        <w:t>На основании требований федерального органа исполнительной власти в области обеспечения безопасности, курирующего вопросы распространения ключей и средств криптографической защиты информации, существует необходимость доверенной передачи ключей и экземпляров ПО СКАД «Сигнатура» для каждого пользователя СПФС, в связи с чем данное ПО должно быть передано представителем Банка России представителю пользователя лично</w:t>
      </w:r>
      <w:r w:rsidR="00B150BD" w:rsidRPr="00B150BD">
        <w:t>. Вместе с тем Банк России напрямую взаимодействует с потенциальным пользователем и в случае возникновения затруднений, вызванных в том числе событиями геополитического характера, оказывает необходимое содействие для решения возникающих вопросов в индивидуальном порядке.</w:t>
      </w:r>
    </w:p>
    <w:p w14:paraId="666EFCFB" w14:textId="77777777" w:rsidR="0025723D" w:rsidRDefault="0025723D" w:rsidP="002F1DD2">
      <w:pPr>
        <w:pStyle w:val="1"/>
        <w:shd w:val="clear" w:color="auto" w:fill="auto"/>
        <w:tabs>
          <w:tab w:val="left" w:pos="1397"/>
        </w:tabs>
        <w:spacing w:line="360" w:lineRule="auto"/>
        <w:ind w:firstLine="709"/>
        <w:jc w:val="both"/>
      </w:pPr>
    </w:p>
    <w:p w14:paraId="4AEC0738" w14:textId="77777777" w:rsidR="00795048" w:rsidRDefault="00EC0F7C" w:rsidP="002F1DD2">
      <w:pPr>
        <w:pStyle w:val="1"/>
        <w:shd w:val="clear" w:color="auto" w:fill="auto"/>
        <w:tabs>
          <w:tab w:val="left" w:pos="1397"/>
        </w:tabs>
        <w:spacing w:line="360" w:lineRule="auto"/>
        <w:ind w:firstLine="709"/>
        <w:jc w:val="both"/>
      </w:pPr>
      <w:r w:rsidRPr="00EC0F7C">
        <w:rPr>
          <w:b/>
          <w:color w:val="4472C4" w:themeColor="accent5"/>
        </w:rPr>
        <w:lastRenderedPageBreak/>
        <w:t>В</w:t>
      </w:r>
      <w:r>
        <w:rPr>
          <w:b/>
          <w:color w:val="4472C4" w:themeColor="accent5"/>
        </w:rPr>
        <w:t>ОПРОС</w:t>
      </w:r>
      <w:r w:rsidRPr="00EC0F7C">
        <w:rPr>
          <w:b/>
          <w:color w:val="4472C4" w:themeColor="accent5"/>
        </w:rPr>
        <w:t xml:space="preserve"> </w:t>
      </w:r>
      <w:r>
        <w:rPr>
          <w:b/>
          <w:color w:val="4472C4" w:themeColor="accent5"/>
        </w:rPr>
        <w:t>7</w:t>
      </w:r>
      <w:r w:rsidRPr="00EC0F7C">
        <w:rPr>
          <w:b/>
          <w:color w:val="4472C4" w:themeColor="accent5"/>
        </w:rPr>
        <w:t xml:space="preserve">. </w:t>
      </w:r>
      <w:r w:rsidR="00862097">
        <w:t>С 1 июля 2024 года вступает в силу Закон № 602-ФЗ</w:t>
      </w:r>
      <w:r w:rsidR="00862097">
        <w:rPr>
          <w:vertAlign w:val="superscript"/>
        </w:rPr>
        <w:footnoteReference w:id="10"/>
      </w:r>
      <w:r w:rsidR="00862097">
        <w:t>, устанавливающий запрет на взимание комиссионного вознаграждения за прием оплаты за ЖКХ</w:t>
      </w:r>
      <w:r w:rsidR="00862097">
        <w:rPr>
          <w:vertAlign w:val="superscript"/>
        </w:rPr>
        <w:footnoteReference w:id="11"/>
      </w:r>
      <w:r w:rsidR="00862097">
        <w:t xml:space="preserve"> от физических лиц, нуждающихся в социальной поддержке</w:t>
      </w:r>
      <w:r w:rsidR="00862097">
        <w:rPr>
          <w:vertAlign w:val="superscript"/>
        </w:rPr>
        <w:footnoteReference w:id="12"/>
      </w:r>
      <w:r w:rsidR="00862097">
        <w:t>. По оценкам кредитных организаций, доля таких физических лиц в общем объеме плательщиков за ЖКХ может составить около 50%, что повлечет за собой значительные издержки по проведению платежей, которые не смогут быть компенсированы за счет взимания комиссии. Кроме того, в настоящее время у кредитных организаций отсутствует информация о принадлежности плательщика к такой категории физических лиц, что создает риски нарушения требований законодательства и применения санкций со стороны регуляторов.</w:t>
      </w:r>
    </w:p>
    <w:p w14:paraId="5BDDC79C" w14:textId="77777777" w:rsidR="00795048" w:rsidRDefault="00862097" w:rsidP="002F1DD2">
      <w:pPr>
        <w:pStyle w:val="1"/>
        <w:shd w:val="clear" w:color="auto" w:fill="auto"/>
        <w:spacing w:line="360" w:lineRule="auto"/>
        <w:ind w:firstLine="720"/>
        <w:jc w:val="both"/>
      </w:pPr>
      <w:r>
        <w:t>В этой связи члены Ассоциации просят Банк России рассмотреть возможность реализации следующих мер:</w:t>
      </w:r>
    </w:p>
    <w:p w14:paraId="663F8476" w14:textId="77777777" w:rsidR="00795048" w:rsidRDefault="00EC0F7C" w:rsidP="002F1DD2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  <w:r w:rsidRPr="00EC0F7C">
        <w:rPr>
          <w:b/>
          <w:color w:val="4472C4" w:themeColor="accent5"/>
        </w:rPr>
        <w:t>В</w:t>
      </w:r>
      <w:r>
        <w:rPr>
          <w:b/>
          <w:color w:val="4472C4" w:themeColor="accent5"/>
        </w:rPr>
        <w:t>ОПРОС</w:t>
      </w:r>
      <w:r w:rsidRPr="00EC0F7C">
        <w:rPr>
          <w:b/>
          <w:color w:val="4472C4" w:themeColor="accent5"/>
        </w:rPr>
        <w:t xml:space="preserve"> </w:t>
      </w:r>
      <w:r>
        <w:rPr>
          <w:b/>
          <w:color w:val="4472C4" w:themeColor="accent5"/>
        </w:rPr>
        <w:t>7.1</w:t>
      </w:r>
      <w:r w:rsidRPr="00EC0F7C">
        <w:rPr>
          <w:b/>
          <w:color w:val="4472C4" w:themeColor="accent5"/>
        </w:rPr>
        <w:t xml:space="preserve">. </w:t>
      </w:r>
      <w:r w:rsidR="00862097">
        <w:t>не взимать с кредитных организаций плату за перечисление платежей за ЖКХ в платежной системе Банка России;</w:t>
      </w:r>
    </w:p>
    <w:p w14:paraId="2DC98613" w14:textId="77777777" w:rsidR="007D483B" w:rsidRPr="000F420B" w:rsidRDefault="007D483B" w:rsidP="002F1DD2">
      <w:pPr>
        <w:pStyle w:val="1"/>
        <w:shd w:val="clear" w:color="auto" w:fill="auto"/>
        <w:spacing w:line="360" w:lineRule="auto"/>
        <w:ind w:firstLine="720"/>
        <w:jc w:val="both"/>
        <w:rPr>
          <w:b/>
        </w:rPr>
      </w:pPr>
      <w:r w:rsidRPr="007D483B">
        <w:rPr>
          <w:b/>
          <w:color w:val="ED7D31" w:themeColor="accent2"/>
        </w:rPr>
        <w:t>ОТВЕТ</w:t>
      </w:r>
      <w:r w:rsidRPr="000F420B">
        <w:rPr>
          <w:b/>
          <w:color w:val="ED7D31" w:themeColor="accent2"/>
        </w:rPr>
        <w:t>:</w:t>
      </w:r>
      <w:r w:rsidR="0007017B" w:rsidRPr="0007017B">
        <w:rPr>
          <w:color w:val="auto"/>
          <w:highlight w:val="yellow"/>
        </w:rPr>
        <w:t xml:space="preserve"> </w:t>
      </w:r>
    </w:p>
    <w:p w14:paraId="27294D43" w14:textId="77777777" w:rsidR="00704EE4" w:rsidRPr="00704EE4" w:rsidRDefault="00704EE4" w:rsidP="00704EE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704EE4">
        <w:rPr>
          <w:rFonts w:ascii="Times New Roman" w:hAnsi="Times New Roman" w:cs="Times New Roman"/>
          <w:color w:val="auto"/>
          <w:sz w:val="26"/>
          <w:szCs w:val="26"/>
          <w:lang w:bidi="ar-SA"/>
        </w:rPr>
        <w:t>Банк России не взимает плату за услуги по переводу денежных средств в отношении операций, бесплатное осуществление которых установлено законодательством Российской Федерации, в том числе об избирательном праве, обязательном пенсионном и социальном страховании, несостоятельности (банкротстве), налоговым и бюджетным кодексами.</w:t>
      </w:r>
    </w:p>
    <w:p w14:paraId="7685CC51" w14:textId="77777777" w:rsidR="00704EE4" w:rsidRPr="00704EE4" w:rsidRDefault="00704EE4" w:rsidP="00704EE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704EE4">
        <w:rPr>
          <w:rFonts w:ascii="Times New Roman" w:hAnsi="Times New Roman" w:cs="Times New Roman"/>
          <w:color w:val="auto"/>
          <w:sz w:val="26"/>
          <w:szCs w:val="26"/>
          <w:lang w:bidi="ar-SA"/>
        </w:rPr>
        <w:t>Платежи за жилищно-коммунальные услуги (далее – ЖКУ) не относятся к категории указанных выше платежей.</w:t>
      </w:r>
    </w:p>
    <w:p w14:paraId="05FC3C7C" w14:textId="77777777" w:rsidR="00704EE4" w:rsidRPr="00704EE4" w:rsidRDefault="00704EE4" w:rsidP="00704EE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704EE4">
        <w:rPr>
          <w:rFonts w:ascii="Times New Roman" w:hAnsi="Times New Roman" w:cs="Times New Roman"/>
          <w:color w:val="auto"/>
          <w:sz w:val="26"/>
          <w:szCs w:val="26"/>
          <w:lang w:bidi="ar-SA"/>
        </w:rPr>
        <w:t>Закон №602-ФЗ устанавливает запрет на взимание кредитной организацией комиссионного вознаграждения за перечисление платы (пени) за ЖКУ с физических лиц, которые нуждаются в социальной поддержке и перечень категорий которых устанавливается Правительством Российской Федерации.</w:t>
      </w:r>
    </w:p>
    <w:p w14:paraId="38A91AAB" w14:textId="77777777" w:rsidR="00FA31E9" w:rsidRDefault="00134F98" w:rsidP="00704EE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При этом </w:t>
      </w:r>
      <w:r w:rsidR="00704EE4" w:rsidRPr="00704EE4">
        <w:rPr>
          <w:rFonts w:ascii="Times New Roman" w:hAnsi="Times New Roman" w:cs="Times New Roman"/>
          <w:color w:val="auto"/>
          <w:sz w:val="26"/>
          <w:szCs w:val="26"/>
          <w:lang w:bidi="ar-SA"/>
        </w:rPr>
        <w:t>Закон №602-ФЗ не распространяет свои нормы на услуги по переводу денежных средств, оказываемые Банком России.</w:t>
      </w:r>
    </w:p>
    <w:p w14:paraId="4A70DFBF" w14:textId="77777777" w:rsidR="00134F98" w:rsidRDefault="00134F98" w:rsidP="00134F9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lastRenderedPageBreak/>
        <w:t>Отмечаем</w:t>
      </w:r>
      <w:r w:rsidRPr="00FA31E9">
        <w:rPr>
          <w:rFonts w:ascii="Times New Roman" w:hAnsi="Times New Roman" w:cs="Times New Roman"/>
          <w:color w:val="auto"/>
          <w:sz w:val="26"/>
          <w:szCs w:val="26"/>
          <w:lang w:bidi="ar-SA"/>
        </w:rPr>
        <w:t>, что при исполнении требований законодательства все субъекты (в том числе Банк России) самостоятельно несут расходы, направленные на реализацию указанных требований, вне зависимости от источников их покрытия.</w:t>
      </w:r>
    </w:p>
    <w:p w14:paraId="6744831E" w14:textId="77777777" w:rsidR="00134F98" w:rsidRPr="00704EE4" w:rsidRDefault="00134F98" w:rsidP="00704EE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6CE4F65A" w14:textId="77777777" w:rsidR="00795048" w:rsidRDefault="00EC0F7C" w:rsidP="002F1DD2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  <w:r w:rsidRPr="00EC0F7C">
        <w:rPr>
          <w:b/>
          <w:color w:val="4472C4" w:themeColor="accent5"/>
        </w:rPr>
        <w:t>В</w:t>
      </w:r>
      <w:r>
        <w:rPr>
          <w:b/>
          <w:color w:val="4472C4" w:themeColor="accent5"/>
        </w:rPr>
        <w:t>ОПРОС</w:t>
      </w:r>
      <w:r w:rsidRPr="00EC0F7C">
        <w:rPr>
          <w:b/>
          <w:color w:val="4472C4" w:themeColor="accent5"/>
        </w:rPr>
        <w:t xml:space="preserve"> </w:t>
      </w:r>
      <w:r>
        <w:rPr>
          <w:b/>
          <w:color w:val="4472C4" w:themeColor="accent5"/>
        </w:rPr>
        <w:t>7.2</w:t>
      </w:r>
      <w:r w:rsidRPr="00EC0F7C">
        <w:rPr>
          <w:b/>
          <w:color w:val="4472C4" w:themeColor="accent5"/>
        </w:rPr>
        <w:t xml:space="preserve">. </w:t>
      </w:r>
      <w:r w:rsidR="00862097">
        <w:t>оказать содействие во взаимодействии с органами государственной власти по вопросу создания государственного сервиса, через который кредитные организации смогут получать необходимую информацию для исполнения требований Закона № 602-ФЗ;</w:t>
      </w:r>
    </w:p>
    <w:p w14:paraId="26CBCB64" w14:textId="77777777" w:rsidR="007D483B" w:rsidRPr="0007017B" w:rsidRDefault="007D483B" w:rsidP="002F1DD2">
      <w:pPr>
        <w:pStyle w:val="1"/>
        <w:shd w:val="clear" w:color="auto" w:fill="auto"/>
        <w:spacing w:line="360" w:lineRule="auto"/>
        <w:ind w:firstLine="720"/>
        <w:jc w:val="both"/>
        <w:rPr>
          <w:b/>
        </w:rPr>
      </w:pPr>
      <w:r w:rsidRPr="007D483B">
        <w:rPr>
          <w:b/>
          <w:color w:val="ED7D31" w:themeColor="accent2"/>
        </w:rPr>
        <w:t>ОТВЕТ</w:t>
      </w:r>
      <w:r w:rsidRPr="000F420B">
        <w:rPr>
          <w:b/>
          <w:color w:val="ED7D31" w:themeColor="accent2"/>
        </w:rPr>
        <w:t>:</w:t>
      </w:r>
      <w:r w:rsidR="0007017B">
        <w:rPr>
          <w:b/>
          <w:color w:val="ED7D31" w:themeColor="accent2"/>
        </w:rPr>
        <w:t xml:space="preserve"> </w:t>
      </w:r>
    </w:p>
    <w:p w14:paraId="734675FF" w14:textId="77777777" w:rsidR="007D483B" w:rsidRDefault="00122D99" w:rsidP="002F1DD2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  <w:r w:rsidRPr="00122D99">
        <w:t>Жилищные отношения, включая отношения по предоставлению коммунальных услуг, внесению платы за</w:t>
      </w:r>
      <w:r>
        <w:t xml:space="preserve"> </w:t>
      </w:r>
      <w:r w:rsidR="00704EE4">
        <w:t>ЖКУ</w:t>
      </w:r>
      <w:r w:rsidRPr="00122D99">
        <w:t xml:space="preserve"> регулируются Жилищным кодексом Российской Федерации, в соответствии с которым функции по выработке и реализации государственной политики и нормативно-правовому регулированию в сфере жилищно-коммунального хозяйства осуществляются </w:t>
      </w:r>
      <w:r>
        <w:t>Минстроем</w:t>
      </w:r>
      <w:r w:rsidR="002528EB">
        <w:t xml:space="preserve"> России</w:t>
      </w:r>
      <w:r w:rsidRPr="00122D99">
        <w:t>.</w:t>
      </w:r>
    </w:p>
    <w:p w14:paraId="71299A17" w14:textId="14B39852" w:rsidR="00122D99" w:rsidRDefault="000C0DEA" w:rsidP="0084251E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  <w:r>
        <w:t>Одновременно сообщаем, что в</w:t>
      </w:r>
      <w:r w:rsidR="00122D99">
        <w:t xml:space="preserve"> настоящее время на площадке Минстроя России с участием представителей рынка приема платежей за ЖКУ</w:t>
      </w:r>
      <w:r w:rsidR="00CB7090">
        <w:t xml:space="preserve"> и их объединений</w:t>
      </w:r>
      <w:r w:rsidR="00122D99">
        <w:t xml:space="preserve"> прорабатывается вопрос реализации требований Закона № 602-ФЗ.</w:t>
      </w:r>
      <w:r w:rsidR="0084251E">
        <w:t xml:space="preserve"> </w:t>
      </w:r>
      <w:r>
        <w:t>Предлагаем п</w:t>
      </w:r>
      <w:r w:rsidR="00122D99">
        <w:t>ри наличии предложений по указанному вопросу направлять</w:t>
      </w:r>
      <w:r>
        <w:t xml:space="preserve"> их </w:t>
      </w:r>
      <w:r w:rsidR="00122D99">
        <w:t>в Минстрой России</w:t>
      </w:r>
      <w:r>
        <w:t xml:space="preserve"> для проработки</w:t>
      </w:r>
      <w:bookmarkStart w:id="0" w:name="_GoBack"/>
      <w:bookmarkEnd w:id="0"/>
      <w:r w:rsidR="00122D99">
        <w:t>.</w:t>
      </w:r>
    </w:p>
    <w:p w14:paraId="64095845" w14:textId="77777777" w:rsidR="0084251E" w:rsidRDefault="0084251E" w:rsidP="002F1DD2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</w:p>
    <w:p w14:paraId="558C28E8" w14:textId="77777777" w:rsidR="00795048" w:rsidRDefault="00EC0F7C" w:rsidP="002F1DD2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  <w:r w:rsidRPr="00EC0F7C">
        <w:rPr>
          <w:b/>
          <w:color w:val="4472C4" w:themeColor="accent5"/>
        </w:rPr>
        <w:t>В</w:t>
      </w:r>
      <w:r>
        <w:rPr>
          <w:b/>
          <w:color w:val="4472C4" w:themeColor="accent5"/>
        </w:rPr>
        <w:t>ОПРОС</w:t>
      </w:r>
      <w:r w:rsidRPr="00EC0F7C">
        <w:rPr>
          <w:b/>
          <w:color w:val="4472C4" w:themeColor="accent5"/>
        </w:rPr>
        <w:t xml:space="preserve"> </w:t>
      </w:r>
      <w:r>
        <w:rPr>
          <w:b/>
          <w:color w:val="4472C4" w:themeColor="accent5"/>
        </w:rPr>
        <w:t>7.3</w:t>
      </w:r>
      <w:r w:rsidRPr="00EC0F7C">
        <w:rPr>
          <w:b/>
          <w:color w:val="4472C4" w:themeColor="accent5"/>
        </w:rPr>
        <w:t xml:space="preserve">. </w:t>
      </w:r>
      <w:r w:rsidR="00862097">
        <w:t xml:space="preserve">утвердить единый стандартизированный формат отправки реестров по платежам за ЖКХ (по аналогии с реестрами </w:t>
      </w:r>
      <w:r>
        <w:rPr>
          <w:lang w:val="en-US" w:eastAsia="en-US" w:bidi="en-US"/>
        </w:rPr>
        <w:t>ED</w:t>
      </w:r>
      <w:r>
        <w:rPr>
          <w:lang w:eastAsia="en-US" w:bidi="en-US"/>
        </w:rPr>
        <w:t> </w:t>
      </w:r>
      <w:r w:rsidRPr="00EC0F7C">
        <w:rPr>
          <w:lang w:eastAsia="en-US" w:bidi="en-US"/>
        </w:rPr>
        <w:t>1</w:t>
      </w:r>
      <w:r w:rsidR="00862097">
        <w:t>08, используемыми для перечисления средств на счета Казначейства России);</w:t>
      </w:r>
    </w:p>
    <w:p w14:paraId="7D0A1DF3" w14:textId="77777777" w:rsidR="007D483B" w:rsidRPr="0007017B" w:rsidRDefault="007D483B" w:rsidP="002F1DD2">
      <w:pPr>
        <w:pStyle w:val="1"/>
        <w:shd w:val="clear" w:color="auto" w:fill="auto"/>
        <w:spacing w:line="360" w:lineRule="auto"/>
        <w:ind w:firstLine="720"/>
        <w:jc w:val="both"/>
        <w:rPr>
          <w:b/>
        </w:rPr>
      </w:pPr>
      <w:r w:rsidRPr="007D483B">
        <w:rPr>
          <w:b/>
          <w:color w:val="ED7D31" w:themeColor="accent2"/>
        </w:rPr>
        <w:t>ОТВЕТ</w:t>
      </w:r>
      <w:r w:rsidRPr="000F420B">
        <w:rPr>
          <w:b/>
          <w:color w:val="ED7D31" w:themeColor="accent2"/>
        </w:rPr>
        <w:t>:</w:t>
      </w:r>
      <w:r w:rsidR="0007017B">
        <w:rPr>
          <w:b/>
          <w:color w:val="ED7D31" w:themeColor="accent2"/>
        </w:rPr>
        <w:t xml:space="preserve"> </w:t>
      </w:r>
    </w:p>
    <w:p w14:paraId="082BF309" w14:textId="77777777" w:rsidR="007D483B" w:rsidRDefault="0084251E" w:rsidP="002F1DD2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  <w:r>
        <w:t>Правила платежной системы Банка России</w:t>
      </w:r>
      <w:r>
        <w:rPr>
          <w:rStyle w:val="a8"/>
        </w:rPr>
        <w:footnoteReference w:id="13"/>
      </w:r>
      <w:r>
        <w:t xml:space="preserve"> не ограничивают кредитные организации в использовании платежного поручения на общую сумму с реестром</w:t>
      </w:r>
      <w:r w:rsidR="000F41E4">
        <w:t xml:space="preserve"> (</w:t>
      </w:r>
      <w:r w:rsidR="000F41E4">
        <w:rPr>
          <w:lang w:val="en-US"/>
        </w:rPr>
        <w:t>ED </w:t>
      </w:r>
      <w:r w:rsidR="000F41E4" w:rsidRPr="000F41E4">
        <w:t>108)</w:t>
      </w:r>
      <w:r>
        <w:t xml:space="preserve"> для перечисления любых принятых от плательщиков-физических лиц платежей, включая платежи за ЖКУ.</w:t>
      </w:r>
    </w:p>
    <w:p w14:paraId="19174836" w14:textId="77777777" w:rsidR="0084251E" w:rsidRDefault="00650D55" w:rsidP="002F1DD2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  <w:r>
        <w:t>С</w:t>
      </w:r>
      <w:r w:rsidR="0084251E">
        <w:t xml:space="preserve">ледует отметить, что </w:t>
      </w:r>
      <w:r w:rsidR="000F41E4">
        <w:t>применение платежного поручения на общую сумму с реестром в платежной системе Банка России между кредитными организациями осуществляется в соответствии с условиями договора между ними</w:t>
      </w:r>
      <w:r w:rsidR="000F41E4">
        <w:rPr>
          <w:rStyle w:val="a8"/>
        </w:rPr>
        <w:footnoteReference w:id="14"/>
      </w:r>
      <w:r w:rsidR="000F41E4">
        <w:t>.</w:t>
      </w:r>
    </w:p>
    <w:p w14:paraId="2D39EBFA" w14:textId="77777777" w:rsidR="000F41E4" w:rsidRDefault="00650D55" w:rsidP="002F1DD2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  <w:r>
        <w:lastRenderedPageBreak/>
        <w:t>Предлагаем рассмотреть возможность использования платежного поручения на общую сумму с реестром (</w:t>
      </w:r>
      <w:r>
        <w:rPr>
          <w:lang w:val="en-US"/>
        </w:rPr>
        <w:t>ED </w:t>
      </w:r>
      <w:r w:rsidRPr="000F41E4">
        <w:t>108)</w:t>
      </w:r>
      <w:r>
        <w:t xml:space="preserve"> для перечисления принятых от плательщиков-физических лиц платежей за ЖКУ.</w:t>
      </w:r>
    </w:p>
    <w:p w14:paraId="221E9DAE" w14:textId="77777777" w:rsidR="001D6978" w:rsidRDefault="001D6978" w:rsidP="002F1DD2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</w:p>
    <w:p w14:paraId="0B93D71C" w14:textId="77777777" w:rsidR="00795048" w:rsidRDefault="00EC0F7C" w:rsidP="002F1DD2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  <w:r w:rsidRPr="00EC0F7C">
        <w:rPr>
          <w:b/>
          <w:color w:val="4472C4" w:themeColor="accent5"/>
        </w:rPr>
        <w:t>В</w:t>
      </w:r>
      <w:r>
        <w:rPr>
          <w:b/>
          <w:color w:val="4472C4" w:themeColor="accent5"/>
        </w:rPr>
        <w:t>ОПРОС</w:t>
      </w:r>
      <w:r w:rsidRPr="00EC0F7C">
        <w:rPr>
          <w:b/>
          <w:color w:val="4472C4" w:themeColor="accent5"/>
        </w:rPr>
        <w:t xml:space="preserve"> </w:t>
      </w:r>
      <w:r>
        <w:rPr>
          <w:b/>
          <w:color w:val="4472C4" w:themeColor="accent5"/>
        </w:rPr>
        <w:t>7.4</w:t>
      </w:r>
      <w:r w:rsidRPr="00EC0F7C">
        <w:rPr>
          <w:b/>
          <w:color w:val="4472C4" w:themeColor="accent5"/>
        </w:rPr>
        <w:t xml:space="preserve">. </w:t>
      </w:r>
      <w:r w:rsidR="00862097">
        <w:t>реализовать возможность перечисления денежных средств, принятых от физических лиц в оплату ЖКХ, на счета поставщиков услуг ЖКХ в других банках сводными платежными поручениями с передачей реестров в стандартизированном формате с расшифровкой платежей и показаниями счетчиков по конкретным лицевым счетам. В частности, в этих целях можно доработать функционал ГИС ЖКХ.</w:t>
      </w:r>
    </w:p>
    <w:p w14:paraId="41AFF7CE" w14:textId="77777777" w:rsidR="007D483B" w:rsidRPr="0007017B" w:rsidRDefault="007D483B" w:rsidP="002F1DD2">
      <w:pPr>
        <w:pStyle w:val="1"/>
        <w:shd w:val="clear" w:color="auto" w:fill="auto"/>
        <w:spacing w:line="360" w:lineRule="auto"/>
        <w:ind w:firstLine="720"/>
        <w:jc w:val="both"/>
        <w:rPr>
          <w:color w:val="auto"/>
        </w:rPr>
      </w:pPr>
      <w:r w:rsidRPr="007D483B">
        <w:rPr>
          <w:b/>
          <w:color w:val="ED7D31" w:themeColor="accent2"/>
        </w:rPr>
        <w:t>ОТВЕТ</w:t>
      </w:r>
      <w:r w:rsidRPr="000F420B">
        <w:rPr>
          <w:b/>
          <w:color w:val="ED7D31" w:themeColor="accent2"/>
        </w:rPr>
        <w:t>:</w:t>
      </w:r>
      <w:r w:rsidR="0007017B">
        <w:rPr>
          <w:b/>
          <w:color w:val="ED7D31" w:themeColor="accent2"/>
        </w:rPr>
        <w:t xml:space="preserve"> </w:t>
      </w:r>
    </w:p>
    <w:p w14:paraId="16C2813D" w14:textId="77777777" w:rsidR="007D483B" w:rsidRDefault="002851E2" w:rsidP="002F1DD2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  <w:r>
        <w:t>Положение № 762-П не ограничивает возможность направления реестра отдельно от платежного поручения на общую сумму, при этом с учетом пункта 1.21 Положения № 762-П порядок передачи реестра определяется кредитной организацией с учетом установленного срока осуществления перевода денежных средств.</w:t>
      </w:r>
    </w:p>
    <w:p w14:paraId="3EE4CE1D" w14:textId="77777777" w:rsidR="002851E2" w:rsidRDefault="007642BB" w:rsidP="002F1DD2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  <w:r w:rsidRPr="007642BB">
        <w:t>В соответствии с пунктом 3 статьи</w:t>
      </w:r>
      <w:r>
        <w:t xml:space="preserve"> 7 Закон № 209-ФЗ</w:t>
      </w:r>
      <w:r>
        <w:rPr>
          <w:vertAlign w:val="superscript"/>
        </w:rPr>
        <w:footnoteReference w:id="15"/>
      </w:r>
      <w:r w:rsidRPr="007642BB">
        <w:t xml:space="preserve"> порядок обмена кредитной организацией информацией с ГИС ЖКХ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6AC3F6EA" w14:textId="77777777" w:rsidR="007642BB" w:rsidRDefault="007642BB" w:rsidP="002F1DD2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  <w:r w:rsidRPr="007642BB">
        <w:t>Оператором ГИС ЖКХ, определенным распоряжением Правительс</w:t>
      </w:r>
      <w:r>
        <w:t>тва Российской Федерации № 34-р</w:t>
      </w:r>
      <w:r>
        <w:rPr>
          <w:rStyle w:val="a8"/>
        </w:rPr>
        <w:footnoteReference w:id="16"/>
      </w:r>
      <w:r w:rsidRPr="007642BB">
        <w:t>, является АО «Оператор информационной системы».</w:t>
      </w:r>
    </w:p>
    <w:p w14:paraId="7AE45AAD" w14:textId="77777777" w:rsidR="007642BB" w:rsidRDefault="007642BB" w:rsidP="002F1DD2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  <w:r>
        <w:t>С учетом изложенного по вопросу возможности использования инфраструктуры ГИС ЖКХ для передачи реестров полагаем целесообразным о</w:t>
      </w:r>
      <w:r w:rsidR="002528EB">
        <w:t>братит</w:t>
      </w:r>
      <w:r>
        <w:t>ься в Минстрой России или к оператору ГИС ЖКХ.</w:t>
      </w:r>
    </w:p>
    <w:p w14:paraId="25779FBA" w14:textId="77777777" w:rsidR="007642BB" w:rsidRDefault="007642BB" w:rsidP="002F1DD2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</w:p>
    <w:p w14:paraId="7937663A" w14:textId="77777777" w:rsidR="00795048" w:rsidRDefault="00EC0F7C" w:rsidP="00411F76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  <w:r w:rsidRPr="00EC0F7C">
        <w:rPr>
          <w:b/>
          <w:color w:val="4472C4" w:themeColor="accent5"/>
        </w:rPr>
        <w:t>В</w:t>
      </w:r>
      <w:r>
        <w:rPr>
          <w:b/>
          <w:color w:val="4472C4" w:themeColor="accent5"/>
        </w:rPr>
        <w:t>ОПРОС</w:t>
      </w:r>
      <w:r w:rsidRPr="00EC0F7C">
        <w:rPr>
          <w:b/>
          <w:color w:val="4472C4" w:themeColor="accent5"/>
        </w:rPr>
        <w:t xml:space="preserve"> </w:t>
      </w:r>
      <w:r>
        <w:rPr>
          <w:b/>
          <w:color w:val="4472C4" w:themeColor="accent5"/>
        </w:rPr>
        <w:t>8</w:t>
      </w:r>
      <w:r w:rsidRPr="00EC0F7C">
        <w:rPr>
          <w:b/>
          <w:color w:val="4472C4" w:themeColor="accent5"/>
        </w:rPr>
        <w:t xml:space="preserve">. </w:t>
      </w:r>
      <w:r w:rsidR="00862097">
        <w:t>Кредитные организации заинтересованы в ин</w:t>
      </w:r>
      <w:r>
        <w:t>теграции своих систем с ГИС ЖКХ</w:t>
      </w:r>
      <w:r w:rsidR="00862097">
        <w:t xml:space="preserve"> для получения обосновывающих документов для принятия решения об акцепте платежей за капитальный ремонт. В этих целях предлагается поддержать инициативу о внесении изменений в Жилищный кодекс Российской Федерации и Закон </w:t>
      </w:r>
      <w:r w:rsidR="00862097">
        <w:lastRenderedPageBreak/>
        <w:t>№ 209-ФЗ, направленных на передачу и обработку в ГИС ЖКХ Протоколов общего собрания собственников помещений в многоквартирном доме, а также информации об открытии специального счета и формирования фонда капитального ремонта. Реализация данной инициативы позволит значительно упростить внутренние процедуры в кредитных организациях и сделает ГИС ЖКХ единым источником информации в сфере капитального ремонта.</w:t>
      </w:r>
    </w:p>
    <w:p w14:paraId="5D59C018" w14:textId="77777777" w:rsidR="007D483B" w:rsidRPr="0007017B" w:rsidRDefault="007D483B" w:rsidP="002F1DD2">
      <w:pPr>
        <w:pStyle w:val="1"/>
        <w:shd w:val="clear" w:color="auto" w:fill="auto"/>
        <w:spacing w:line="360" w:lineRule="auto"/>
        <w:ind w:firstLine="720"/>
        <w:jc w:val="both"/>
        <w:rPr>
          <w:b/>
        </w:rPr>
      </w:pPr>
      <w:r w:rsidRPr="007D483B">
        <w:rPr>
          <w:b/>
          <w:color w:val="ED7D31" w:themeColor="accent2"/>
        </w:rPr>
        <w:t>ОТВЕТ</w:t>
      </w:r>
      <w:r w:rsidRPr="00411F76">
        <w:rPr>
          <w:b/>
          <w:color w:val="ED7D31" w:themeColor="accent2"/>
        </w:rPr>
        <w:t>:</w:t>
      </w:r>
      <w:r w:rsidR="0007017B">
        <w:rPr>
          <w:b/>
          <w:color w:val="ED7D31" w:themeColor="accent2"/>
        </w:rPr>
        <w:t xml:space="preserve"> </w:t>
      </w:r>
    </w:p>
    <w:p w14:paraId="572B50D4" w14:textId="379772D4" w:rsidR="007D483B" w:rsidRDefault="00411F76" w:rsidP="00411F76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  <w:r>
        <w:t xml:space="preserve">По указанному вопросу </w:t>
      </w:r>
      <w:r w:rsidR="002528EB">
        <w:t>предлагаем обрати</w:t>
      </w:r>
      <w:r>
        <w:t>ться в Минстрой России,</w:t>
      </w:r>
      <w:r w:rsidR="002528EB">
        <w:t xml:space="preserve"> осуществляющий </w:t>
      </w:r>
      <w:r w:rsidR="002528EB" w:rsidRPr="00122D99">
        <w:t>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r w:rsidR="002528EB">
        <w:t>, в том числе в части регулирования порядка</w:t>
      </w:r>
      <w:r w:rsidR="002528EB" w:rsidRPr="007642BB">
        <w:t xml:space="preserve"> обмена кредитной организацией информацией с ГИС ЖКХ</w:t>
      </w:r>
      <w:r>
        <w:t>.</w:t>
      </w:r>
    </w:p>
    <w:p w14:paraId="481D0C14" w14:textId="42388017" w:rsidR="00724417" w:rsidRDefault="00724417" w:rsidP="00411F76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  <w:r>
        <w:t>Со своей стороны готовы поддержать указанную инициативу банковского сообщества при посту</w:t>
      </w:r>
      <w:r w:rsidR="00A129D2">
        <w:t>плении соответствующего законопроекта</w:t>
      </w:r>
      <w:r>
        <w:t>.</w:t>
      </w:r>
    </w:p>
    <w:p w14:paraId="33C8B560" w14:textId="77777777" w:rsidR="00411F76" w:rsidRDefault="00411F76" w:rsidP="00411F76">
      <w:pPr>
        <w:pStyle w:val="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</w:p>
    <w:p w14:paraId="35E2EDFB" w14:textId="77777777" w:rsidR="00795048" w:rsidRDefault="00EC0F7C" w:rsidP="002F1DD2">
      <w:pPr>
        <w:pStyle w:val="1"/>
        <w:shd w:val="clear" w:color="auto" w:fill="auto"/>
        <w:tabs>
          <w:tab w:val="left" w:pos="1409"/>
        </w:tabs>
        <w:spacing w:line="360" w:lineRule="auto"/>
        <w:ind w:firstLine="709"/>
        <w:jc w:val="both"/>
      </w:pPr>
      <w:r w:rsidRPr="00EC0F7C">
        <w:rPr>
          <w:b/>
          <w:color w:val="4472C4" w:themeColor="accent5"/>
        </w:rPr>
        <w:t>В</w:t>
      </w:r>
      <w:r>
        <w:rPr>
          <w:b/>
          <w:color w:val="4472C4" w:themeColor="accent5"/>
        </w:rPr>
        <w:t>ОПРОС</w:t>
      </w:r>
      <w:r w:rsidRPr="00EC0F7C">
        <w:rPr>
          <w:b/>
          <w:color w:val="4472C4" w:themeColor="accent5"/>
        </w:rPr>
        <w:t xml:space="preserve"> </w:t>
      </w:r>
      <w:r>
        <w:rPr>
          <w:b/>
          <w:color w:val="4472C4" w:themeColor="accent5"/>
        </w:rPr>
        <w:t>9</w:t>
      </w:r>
      <w:r w:rsidRPr="00EC0F7C">
        <w:rPr>
          <w:b/>
          <w:color w:val="4472C4" w:themeColor="accent5"/>
        </w:rPr>
        <w:t xml:space="preserve">. </w:t>
      </w:r>
      <w:r w:rsidR="00862097">
        <w:t>В соответствии с требованиями Закона № 210-ФЗ</w:t>
      </w:r>
      <w:r w:rsidR="00862097">
        <w:rPr>
          <w:vertAlign w:val="superscript"/>
        </w:rPr>
        <w:footnoteReference w:id="17"/>
      </w:r>
      <w:r w:rsidR="00862097">
        <w:t xml:space="preserve"> кредитные организации обязаны направлять в режиме реального времени не позднее одного часа после приема к исполнению соответствующего распоряжения информацию о его уплате в ГИС ГМП. В этой связи в целях соблюдения установленных сроков сообщения отправляются в ГИС ГМП до фактического прохождения платежом всех соответствующих проверок в платежной системе Банка России. При этом на практике возможны ситуации, когда платеж не прошел проверки и вернулся в банк-отправитель или после успешного завершения платежа банком выявлены ошибки в оформлении реквизитов сообщения, направленного в ГИС ГМП.</w:t>
      </w:r>
    </w:p>
    <w:p w14:paraId="5DD0824F" w14:textId="77777777" w:rsidR="00795048" w:rsidRDefault="00862097" w:rsidP="002F1DD2">
      <w:pPr>
        <w:pStyle w:val="1"/>
        <w:shd w:val="clear" w:color="auto" w:fill="auto"/>
        <w:spacing w:line="360" w:lineRule="auto"/>
        <w:ind w:firstLine="740"/>
        <w:jc w:val="both"/>
      </w:pPr>
      <w:r>
        <w:t>Таким образом, ГИС ГМП может содержать некорректную информацию, однако форматы взаимодействия с ГИС ГМП не позволяют кредитным организациям ее скорректировать. В этой связи члены Ассоциации просят поддержать инициативу о доработке форматов взаимодействия с ГИС ГМП в целях предоставления возможности аннулирования сообщений и направления корректировок УИН и идентификатора плательщика.</w:t>
      </w:r>
    </w:p>
    <w:p w14:paraId="2323FF85" w14:textId="77777777" w:rsidR="007D483B" w:rsidRDefault="007D483B" w:rsidP="002F1DD2">
      <w:pPr>
        <w:pStyle w:val="1"/>
        <w:shd w:val="clear" w:color="auto" w:fill="auto"/>
        <w:spacing w:line="360" w:lineRule="auto"/>
        <w:ind w:firstLine="720"/>
        <w:jc w:val="both"/>
        <w:rPr>
          <w:color w:val="auto"/>
        </w:rPr>
      </w:pPr>
      <w:r w:rsidRPr="007D483B">
        <w:rPr>
          <w:b/>
          <w:color w:val="ED7D31" w:themeColor="accent2"/>
        </w:rPr>
        <w:t>ОТВЕТ</w:t>
      </w:r>
      <w:r w:rsidRPr="00B95440">
        <w:rPr>
          <w:b/>
          <w:color w:val="ED7D31" w:themeColor="accent2"/>
        </w:rPr>
        <w:t>:</w:t>
      </w:r>
      <w:r w:rsidR="0007017B">
        <w:rPr>
          <w:b/>
          <w:color w:val="ED7D31" w:themeColor="accent2"/>
        </w:rPr>
        <w:t xml:space="preserve"> </w:t>
      </w:r>
    </w:p>
    <w:p w14:paraId="3D29669D" w14:textId="201025C0" w:rsidR="00B95440" w:rsidRDefault="00724417" w:rsidP="002F1DD2">
      <w:pPr>
        <w:pStyle w:val="1"/>
        <w:spacing w:line="360" w:lineRule="auto"/>
        <w:ind w:firstLine="720"/>
        <w:jc w:val="both"/>
      </w:pPr>
      <w:r>
        <w:lastRenderedPageBreak/>
        <w:t>Согласно</w:t>
      </w:r>
      <w:r w:rsidRPr="00724417">
        <w:t xml:space="preserve"> </w:t>
      </w:r>
      <w:r>
        <w:t>части</w:t>
      </w:r>
      <w:r w:rsidRPr="00B95440">
        <w:t xml:space="preserve"> 2 статьи 21.3 </w:t>
      </w:r>
      <w:r>
        <w:t>З</w:t>
      </w:r>
      <w:r w:rsidRPr="00B95440">
        <w:t>акона № 210-ФЗ</w:t>
      </w:r>
      <w:r>
        <w:t xml:space="preserve"> с</w:t>
      </w:r>
      <w:r w:rsidR="00B95440" w:rsidRPr="00B95440">
        <w:t>оздание, ведение, развитие и обслуживание ГИС ГМП</w:t>
      </w:r>
      <w:r>
        <w:t xml:space="preserve"> осуществляет Федеральное казначейство.</w:t>
      </w:r>
    </w:p>
    <w:p w14:paraId="749EBDE2" w14:textId="015B65F1" w:rsidR="00724417" w:rsidRDefault="00A129D2" w:rsidP="002F1DD2">
      <w:pPr>
        <w:pStyle w:val="1"/>
        <w:spacing w:line="360" w:lineRule="auto"/>
        <w:ind w:firstLine="720"/>
        <w:jc w:val="both"/>
      </w:pPr>
      <w:r>
        <w:t xml:space="preserve">В связи с этим была запрошена позиция Федерального казначейства, после получения которой ответ будет </w:t>
      </w:r>
      <w:r w:rsidR="00724417">
        <w:t>направлен в Ассоциацию «Россия» дополнительно.</w:t>
      </w:r>
    </w:p>
    <w:p w14:paraId="3E675CCF" w14:textId="2BC3B090" w:rsidR="00B95440" w:rsidRDefault="00B95440" w:rsidP="00A129D2">
      <w:pPr>
        <w:pStyle w:val="1"/>
        <w:shd w:val="clear" w:color="auto" w:fill="auto"/>
        <w:spacing w:line="360" w:lineRule="auto"/>
        <w:ind w:firstLine="0"/>
        <w:jc w:val="both"/>
      </w:pPr>
    </w:p>
    <w:p w14:paraId="1E60468B" w14:textId="77777777" w:rsidR="00795048" w:rsidRDefault="00EC0F7C" w:rsidP="002F1DD2">
      <w:pPr>
        <w:pStyle w:val="1"/>
        <w:shd w:val="clear" w:color="auto" w:fill="auto"/>
        <w:tabs>
          <w:tab w:val="left" w:pos="1409"/>
        </w:tabs>
        <w:spacing w:line="360" w:lineRule="auto"/>
        <w:ind w:firstLine="709"/>
        <w:jc w:val="both"/>
      </w:pPr>
      <w:r w:rsidRPr="00EC0F7C">
        <w:rPr>
          <w:b/>
          <w:color w:val="4472C4" w:themeColor="accent5"/>
        </w:rPr>
        <w:t>В</w:t>
      </w:r>
      <w:r>
        <w:rPr>
          <w:b/>
          <w:color w:val="4472C4" w:themeColor="accent5"/>
        </w:rPr>
        <w:t>ОПРОС</w:t>
      </w:r>
      <w:r w:rsidRPr="00EC0F7C">
        <w:rPr>
          <w:b/>
          <w:color w:val="4472C4" w:themeColor="accent5"/>
        </w:rPr>
        <w:t xml:space="preserve"> </w:t>
      </w:r>
      <w:r>
        <w:rPr>
          <w:b/>
          <w:color w:val="4472C4" w:themeColor="accent5"/>
        </w:rPr>
        <w:t>10</w:t>
      </w:r>
      <w:r w:rsidRPr="00EC0F7C">
        <w:rPr>
          <w:b/>
          <w:color w:val="4472C4" w:themeColor="accent5"/>
        </w:rPr>
        <w:t xml:space="preserve">. </w:t>
      </w:r>
      <w:r w:rsidR="00862097">
        <w:t>В настоящее время, по информации членов Ассоциации, возникают ситуации, когда иностранные компании, в том числе финансовые организации, предлагают российским банкам заключить договоры, в рамках которых российские банки будут оказывать иностранным юридическим лицам услуги по обеспечению приема ЭСП (банковских карт), эмитированных на территории России, в целях оплаты товаров, работ и услуг, приобретаемых держателями ЭСП в Интернет-магазинах иностранных торгово-сервисных предприятий (ТСП), являющихся клиентами указанных иностранных компаний. В этом случае иностранные компании на своих банковских счетах осуществляют агрегирование денежных средств, поступающих от российских банков по операциям, совершенных с использованием ЭСП, и последующее распределение указанных денежных средств между своими клиентами-ТСП.</w:t>
      </w:r>
    </w:p>
    <w:p w14:paraId="6E7F1810" w14:textId="77777777" w:rsidR="00795048" w:rsidRDefault="00862097" w:rsidP="002F1DD2">
      <w:pPr>
        <w:pStyle w:val="1"/>
        <w:shd w:val="clear" w:color="auto" w:fill="auto"/>
        <w:spacing w:line="360" w:lineRule="auto"/>
        <w:ind w:firstLine="720"/>
        <w:jc w:val="both"/>
      </w:pPr>
      <w:r>
        <w:t xml:space="preserve">При этом Закон № 161-ФЗ не регулирует деятельность данных иностранных компаний, так как они не могут быть квалифицированы в качестве платежных </w:t>
      </w:r>
      <w:proofErr w:type="spellStart"/>
      <w:r>
        <w:t>агрегаторов</w:t>
      </w:r>
      <w:proofErr w:type="spellEnd"/>
      <w:r>
        <w:t xml:space="preserve">, поскольку согласно статьям 3 и 14.1 Закона № 161-ФЗ платежным </w:t>
      </w:r>
      <w:proofErr w:type="spellStart"/>
      <w:r>
        <w:t>агрегатором</w:t>
      </w:r>
      <w:proofErr w:type="spellEnd"/>
      <w:r>
        <w:t xml:space="preserve"> вправе выступать только юридическое лицо, не являющееся кредитной организацией и созданное в соответствии с законодательством Российской Федерации.</w:t>
      </w:r>
    </w:p>
    <w:p w14:paraId="1CCB084A" w14:textId="77777777" w:rsidR="00795048" w:rsidRDefault="00862097" w:rsidP="002F1DD2">
      <w:pPr>
        <w:pStyle w:val="1"/>
        <w:shd w:val="clear" w:color="auto" w:fill="auto"/>
        <w:spacing w:line="360" w:lineRule="auto"/>
        <w:ind w:firstLine="720"/>
        <w:jc w:val="both"/>
      </w:pPr>
      <w:r>
        <w:t>В этой связи кредитные организации предлагают рассмотреть возможность внесения изменений в Закон № 161-ФЗ в целях определения статуса иностранных компаний, осуществляющих агрегирование денежных средств, перечисленных российскими банками по операциям, совершенных с использованием ЭСП, и последующее распределение указанных денежных средств между своими клиентами-ТСП.</w:t>
      </w:r>
    </w:p>
    <w:p w14:paraId="3409B6B5" w14:textId="77777777" w:rsidR="007D483B" w:rsidRPr="0007017B" w:rsidRDefault="007D483B" w:rsidP="002F1DD2">
      <w:pPr>
        <w:pStyle w:val="1"/>
        <w:shd w:val="clear" w:color="auto" w:fill="auto"/>
        <w:spacing w:line="360" w:lineRule="auto"/>
        <w:ind w:firstLine="720"/>
        <w:jc w:val="both"/>
        <w:rPr>
          <w:b/>
        </w:rPr>
      </w:pPr>
      <w:r w:rsidRPr="007D483B">
        <w:rPr>
          <w:b/>
          <w:color w:val="ED7D31" w:themeColor="accent2"/>
        </w:rPr>
        <w:t>ОТВЕТ</w:t>
      </w:r>
      <w:r w:rsidRPr="009D0546">
        <w:rPr>
          <w:b/>
          <w:color w:val="ED7D31" w:themeColor="accent2"/>
        </w:rPr>
        <w:t>:</w:t>
      </w:r>
      <w:r w:rsidR="0007017B">
        <w:rPr>
          <w:b/>
          <w:color w:val="ED7D31" w:themeColor="accent2"/>
        </w:rPr>
        <w:t xml:space="preserve"> </w:t>
      </w:r>
    </w:p>
    <w:p w14:paraId="73B2FD97" w14:textId="77777777" w:rsidR="00D97506" w:rsidRPr="002F5E61" w:rsidRDefault="00D97506" w:rsidP="00D97506">
      <w:pPr>
        <w:pStyle w:val="1"/>
        <w:shd w:val="clear" w:color="auto" w:fill="auto"/>
        <w:spacing w:line="360" w:lineRule="auto"/>
        <w:ind w:firstLine="720"/>
        <w:jc w:val="both"/>
      </w:pPr>
      <w:r w:rsidRPr="002F5E61">
        <w:t>Для рассмотрения инициативы по существу Ассоциации необходимо представить в Банк России дополнительную информацию о том:</w:t>
      </w:r>
    </w:p>
    <w:p w14:paraId="34B780C5" w14:textId="77777777" w:rsidR="00D97506" w:rsidRPr="002F5E61" w:rsidRDefault="00D97506" w:rsidP="00D97506">
      <w:pPr>
        <w:pStyle w:val="1"/>
        <w:shd w:val="clear" w:color="auto" w:fill="auto"/>
        <w:spacing w:line="360" w:lineRule="auto"/>
        <w:ind w:firstLine="720"/>
        <w:jc w:val="both"/>
      </w:pPr>
      <w:r w:rsidRPr="002F5E61">
        <w:t>-</w:t>
      </w:r>
      <w:r>
        <w:t>  </w:t>
      </w:r>
      <w:r w:rsidRPr="002F5E61">
        <w:t>предполагается ли закрепление статуса нового субъекта национальной платежной системы (далее – НПС) или упомянутые иностранные организации предлагается отнести к числу существующих субъектов НПС</w:t>
      </w:r>
      <w:r>
        <w:t>;</w:t>
      </w:r>
    </w:p>
    <w:p w14:paraId="7ED3C33B" w14:textId="77777777" w:rsidR="00D97506" w:rsidRPr="002F5E61" w:rsidRDefault="00D97506" w:rsidP="00D97506">
      <w:pPr>
        <w:pStyle w:val="1"/>
        <w:shd w:val="clear" w:color="auto" w:fill="auto"/>
        <w:spacing w:line="360" w:lineRule="auto"/>
        <w:ind w:firstLine="720"/>
        <w:jc w:val="both"/>
      </w:pPr>
      <w:r w:rsidRPr="002F5E61">
        <w:t>-</w:t>
      </w:r>
      <w:r>
        <w:t>  </w:t>
      </w:r>
      <w:r w:rsidRPr="002F5E61">
        <w:t xml:space="preserve">по каким причинам схемы взаимодействия с иностранными организациями не </w:t>
      </w:r>
      <w:r w:rsidRPr="002F5E61">
        <w:lastRenderedPageBreak/>
        <w:t>могут быть реализованы в рамках текущего регулирования, установленного законодательством Российской Федерации о НПС (например</w:t>
      </w:r>
      <w:r>
        <w:t>,</w:t>
      </w:r>
      <w:r w:rsidRPr="002F5E61">
        <w:t xml:space="preserve"> в рамках </w:t>
      </w:r>
      <w:r>
        <w:t>регулирования отношений с иностранными поставщиками платежных услуг);</w:t>
      </w:r>
    </w:p>
    <w:p w14:paraId="1CF59B15" w14:textId="77777777" w:rsidR="003042B3" w:rsidRPr="003042B3" w:rsidRDefault="00D97506" w:rsidP="00D97506">
      <w:pPr>
        <w:pStyle w:val="1"/>
        <w:shd w:val="clear" w:color="auto" w:fill="auto"/>
        <w:spacing w:line="360" w:lineRule="auto"/>
        <w:ind w:firstLine="720"/>
        <w:jc w:val="both"/>
      </w:pPr>
      <w:r w:rsidRPr="002F5E61">
        <w:t>-</w:t>
      </w:r>
      <w:r>
        <w:t>  </w:t>
      </w:r>
      <w:r w:rsidRPr="002F5E61">
        <w:t xml:space="preserve">насколько распространенными являются подобные схемы взаимодействия с иностранными организациями, не обладающими статусом </w:t>
      </w:r>
      <w:r>
        <w:t>иностранных поставщиков платежных услуг</w:t>
      </w:r>
      <w:r w:rsidRPr="002F5E61">
        <w:t>.</w:t>
      </w:r>
    </w:p>
    <w:p w14:paraId="154B36CB" w14:textId="77777777" w:rsidR="003042B3" w:rsidRDefault="003042B3" w:rsidP="002F1DD2">
      <w:pPr>
        <w:pStyle w:val="1"/>
        <w:shd w:val="clear" w:color="auto" w:fill="auto"/>
        <w:spacing w:line="360" w:lineRule="auto"/>
        <w:ind w:firstLine="720"/>
        <w:jc w:val="both"/>
      </w:pPr>
    </w:p>
    <w:sectPr w:rsidR="003042B3">
      <w:footerReference w:type="default" r:id="rId8"/>
      <w:footerReference w:type="first" r:id="rId9"/>
      <w:pgSz w:w="11900" w:h="16840"/>
      <w:pgMar w:top="1077" w:right="605" w:bottom="525" w:left="1528" w:header="0" w:footer="3" w:gutter="0"/>
      <w:pgNumType w:start="1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923C9" w14:textId="77777777" w:rsidR="00574C73" w:rsidRDefault="00574C73">
      <w:r>
        <w:separator/>
      </w:r>
    </w:p>
  </w:endnote>
  <w:endnote w:type="continuationSeparator" w:id="0">
    <w:p w14:paraId="6D8EA024" w14:textId="77777777" w:rsidR="00574C73" w:rsidRDefault="00574C73">
      <w:r>
        <w:continuationSeparator/>
      </w:r>
    </w:p>
  </w:endnote>
  <w:endnote w:type="continuationNotice" w:id="1">
    <w:p w14:paraId="5C4793D5" w14:textId="77777777" w:rsidR="00574C73" w:rsidRDefault="00574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4B689" w14:textId="77777777" w:rsidR="00795048" w:rsidRDefault="0086209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35127A4" wp14:editId="1B6AA934">
              <wp:simplePos x="0" y="0"/>
              <wp:positionH relativeFrom="page">
                <wp:posOffset>7082790</wp:posOffset>
              </wp:positionH>
              <wp:positionV relativeFrom="page">
                <wp:posOffset>10426700</wp:posOffset>
              </wp:positionV>
              <wp:extent cx="6413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945C3A" w14:textId="0C9B7B62" w:rsidR="00795048" w:rsidRDefault="00862097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C0DEA" w:rsidRPr="000C0DEA">
                            <w:rPr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127A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7.7pt;margin-top:821pt;width:5.0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u7kwEAAB8DAAAOAAAAZHJzL2Uyb0RvYy54bWysUttOwzAMfUfiH6K8s27jumrdBEIgJARI&#10;wAdkabJGauIoDmv39zhZNxC8IV5cx3aPj489X/a2ZRsV0ICr+GQ05kw5CbVx64q/v92dXHGGUbha&#10;tOBUxbcK+XJxfDTvfKmm0EBbq8AIxGHZ+Yo3MfqyKFA2ygocgVeOkhqCFZGeYV3UQXSEbttiOh5f&#10;FB2E2geQCpGit7skX2R8rZWMz1qjiqytOHGL2YZsV8kWi7ko10H4xsiBhvgDCyuMo6YHqFsRBfsI&#10;5heUNTIAgo4jCbYArY1UeQaaZjL+Mc1rI7zKs5A46A8y4f/ByqfNS2Cmpt1x5oSlFeWubJKk6TyW&#10;VPHqqSb2N9CnsiGOFEwT9zrY9KVZGOVJ5O1BWNVHJil4cTY5PedMUmZ2eTnLshdfv/qA8V6BZcmp&#10;eKCtZTHF5hEjtaPSfUnq5ODOtG2KJ347HsmL/aofyK2g3hLnjhZbcUeXx1n74Ei3dAN7J+yd1eAk&#10;cPTXH5Ea5L4JdQc1NKMtZDrDxaQ1f3/nqq+7XnwCAAD//wMAUEsDBBQABgAIAAAAIQAqvpkr4AAA&#10;AA8BAAAPAAAAZHJzL2Rvd25yZXYueG1sTI/NTsMwEITvSLyDtUjcqJMoaasQp0KVuHCjICRubryN&#10;I/wT2W6avD2bE9x2dkez3zSH2Ro2YYiDdwLyTQYMXefV4HoBnx+vT3tgMUmnpPEOBSwY4dDe3zWy&#10;Vv7m3nE6pZ5RiIu1FKBTGmvOY6fRyrjxIzq6XXywMpEMPVdB3ijcGl5k2ZZbOTj6oOWIR43dz+lq&#10;BezmL49jxCN+X6Yu6GHZm7dFiMeH+eUZWMI5/ZlhxSd0aInp7K9ORWZI53lVkpembVlQrdWTF1UF&#10;7Lzuql0JvG34/x7tLwAAAP//AwBQSwECLQAUAAYACAAAACEAtoM4kv4AAADhAQAAEwAAAAAAAAAA&#10;AAAAAAAAAAAAW0NvbnRlbnRfVHlwZXNdLnhtbFBLAQItABQABgAIAAAAIQA4/SH/1gAAAJQBAAAL&#10;AAAAAAAAAAAAAAAAAC8BAABfcmVscy8ucmVsc1BLAQItABQABgAIAAAAIQBaLBu7kwEAAB8DAAAO&#10;AAAAAAAAAAAAAAAAAC4CAABkcnMvZTJvRG9jLnhtbFBLAQItABQABgAIAAAAIQAqvpkr4AAAAA8B&#10;AAAPAAAAAAAAAAAAAAAAAO0DAABkcnMvZG93bnJldi54bWxQSwUGAAAAAAQABADzAAAA+gQAAAAA&#10;" filled="f" stroked="f">
              <v:textbox style="mso-fit-shape-to-text:t" inset="0,0,0,0">
                <w:txbxContent>
                  <w:p w14:paraId="0D945C3A" w14:textId="0C9B7B62" w:rsidR="00795048" w:rsidRDefault="00862097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C0DEA" w:rsidRPr="000C0DEA">
                      <w:rPr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4777D" w14:textId="77777777" w:rsidR="00795048" w:rsidRDefault="0079504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DB8FF" w14:textId="77777777" w:rsidR="00574C73" w:rsidRDefault="00574C73">
      <w:r>
        <w:separator/>
      </w:r>
    </w:p>
  </w:footnote>
  <w:footnote w:type="continuationSeparator" w:id="0">
    <w:p w14:paraId="5FE1ECCC" w14:textId="77777777" w:rsidR="00574C73" w:rsidRDefault="00574C73">
      <w:r>
        <w:continuationSeparator/>
      </w:r>
    </w:p>
  </w:footnote>
  <w:footnote w:type="continuationNotice" w:id="1">
    <w:p w14:paraId="169962DF" w14:textId="77777777" w:rsidR="00574C73" w:rsidRDefault="00574C73"/>
  </w:footnote>
  <w:footnote w:id="2">
    <w:p w14:paraId="65E9F592" w14:textId="77777777" w:rsidR="00795048" w:rsidRDefault="00862097" w:rsidP="00CE0467">
      <w:pPr>
        <w:pStyle w:val="a4"/>
        <w:shd w:val="clear" w:color="auto" w:fill="auto"/>
        <w:tabs>
          <w:tab w:val="left" w:pos="125"/>
        </w:tabs>
        <w:spacing w:line="240" w:lineRule="auto"/>
        <w:jc w:val="both"/>
      </w:pPr>
      <w:r>
        <w:rPr>
          <w:vertAlign w:val="superscript"/>
        </w:rPr>
        <w:footnoteRef/>
      </w:r>
      <w:r>
        <w:tab/>
        <w:t>Федеральный закон от 27.06.2011 № 161-ФЗ «О национальной платежной системе».</w:t>
      </w:r>
    </w:p>
  </w:footnote>
  <w:footnote w:id="3">
    <w:p w14:paraId="5B7EDF65" w14:textId="77777777" w:rsidR="00795048" w:rsidRDefault="00862097" w:rsidP="00CE0467">
      <w:pPr>
        <w:pStyle w:val="a4"/>
        <w:shd w:val="clear" w:color="auto" w:fill="auto"/>
        <w:tabs>
          <w:tab w:val="left" w:pos="192"/>
        </w:tabs>
        <w:jc w:val="both"/>
      </w:pPr>
      <w:r>
        <w:rPr>
          <w:vertAlign w:val="superscript"/>
        </w:rPr>
        <w:footnoteRef/>
      </w:r>
      <w:r>
        <w:tab/>
        <w:t>Положение Банка России от 26.06.2021 № 762-П «О правилах осуществления перевода денежных средств».</w:t>
      </w:r>
    </w:p>
  </w:footnote>
  <w:footnote w:id="4">
    <w:p w14:paraId="2D4CFB1C" w14:textId="77777777" w:rsidR="00795048" w:rsidRDefault="00862097" w:rsidP="00CE0467">
      <w:pPr>
        <w:pStyle w:val="a4"/>
        <w:shd w:val="clear" w:color="auto" w:fill="auto"/>
        <w:tabs>
          <w:tab w:val="left" w:pos="230"/>
        </w:tabs>
        <w:jc w:val="both"/>
      </w:pPr>
      <w:r>
        <w:rPr>
          <w:vertAlign w:val="superscript"/>
        </w:rPr>
        <w:footnoteRef/>
      </w:r>
      <w:r>
        <w:tab/>
        <w:t>Приказ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Федерации».</w:t>
      </w:r>
    </w:p>
  </w:footnote>
  <w:footnote w:id="5">
    <w:p w14:paraId="7D4A3DB4" w14:textId="77777777" w:rsidR="002F1DD2" w:rsidRPr="003E4812" w:rsidRDefault="002F1DD2" w:rsidP="00FB2213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3E4812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3E4812">
        <w:rPr>
          <w:rFonts w:ascii="Times New Roman" w:hAnsi="Times New Roman" w:cs="Times New Roman"/>
          <w:sz w:val="22"/>
          <w:szCs w:val="22"/>
        </w:rPr>
        <w:t xml:space="preserve"> Примечание 4 приложения 1 к Положению № 762-П.</w:t>
      </w:r>
    </w:p>
  </w:footnote>
  <w:footnote w:id="6">
    <w:p w14:paraId="1E4A2774" w14:textId="5151A258" w:rsidR="006F3811" w:rsidRPr="00FB2213" w:rsidRDefault="006F3811" w:rsidP="00FB2213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B2213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FB2213">
        <w:rPr>
          <w:rFonts w:ascii="Times New Roman" w:hAnsi="Times New Roman" w:cs="Times New Roman"/>
          <w:sz w:val="22"/>
          <w:szCs w:val="22"/>
        </w:rPr>
        <w:t xml:space="preserve"> 18201061201010000510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7">
    <w:p w14:paraId="35DEF9A6" w14:textId="6E640463" w:rsidR="006F3811" w:rsidRPr="00FB2213" w:rsidRDefault="006F3811" w:rsidP="00FB2213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B2213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FB2213">
        <w:rPr>
          <w:rFonts w:ascii="Times New Roman" w:hAnsi="Times New Roman" w:cs="Times New Roman"/>
          <w:sz w:val="22"/>
          <w:szCs w:val="22"/>
        </w:rPr>
        <w:t xml:space="preserve"> Пункт 7 приложения 2 к Приказу № </w:t>
      </w:r>
      <w:r w:rsidR="007E3062" w:rsidRPr="00FB2213">
        <w:rPr>
          <w:rFonts w:ascii="Times New Roman" w:hAnsi="Times New Roman" w:cs="Times New Roman"/>
          <w:sz w:val="22"/>
          <w:szCs w:val="22"/>
        </w:rPr>
        <w:t>107н утратил силу с 01.01.2024.</w:t>
      </w:r>
    </w:p>
  </w:footnote>
  <w:footnote w:id="8">
    <w:p w14:paraId="242E2F1C" w14:textId="77777777" w:rsidR="00795048" w:rsidRDefault="00862097" w:rsidP="00CE0467">
      <w:pPr>
        <w:pStyle w:val="a4"/>
        <w:shd w:val="clear" w:color="auto" w:fill="auto"/>
        <w:tabs>
          <w:tab w:val="left" w:pos="187"/>
        </w:tabs>
        <w:jc w:val="both"/>
      </w:pPr>
      <w:r>
        <w:rPr>
          <w:vertAlign w:val="superscript"/>
        </w:rPr>
        <w:footnoteRef/>
      </w:r>
      <w:r>
        <w:tab/>
        <w:t>Установлено с 01.05.2024 Федеральным законом от 02.12.1990 № 395-1 «О банках и банковской деятельности» в редакции Федерального закона от 04.08.2023 № 482-ФЗ «О внесении изменений в статьи 29 и 36 Федерального закона «О банках и банковской деятельности».</w:t>
      </w:r>
    </w:p>
  </w:footnote>
  <w:footnote w:id="9">
    <w:p w14:paraId="1AD1FD72" w14:textId="77777777" w:rsidR="00795048" w:rsidRDefault="00862097">
      <w:pPr>
        <w:pStyle w:val="a4"/>
        <w:shd w:val="clear" w:color="auto" w:fill="auto"/>
        <w:tabs>
          <w:tab w:val="left" w:pos="110"/>
        </w:tabs>
        <w:spacing w:line="240" w:lineRule="auto"/>
      </w:pPr>
      <w:r>
        <w:rPr>
          <w:vertAlign w:val="superscript"/>
        </w:rPr>
        <w:footnoteRef/>
      </w:r>
      <w:r>
        <w:tab/>
        <w:t>Унифицированные форматы электронных банковских сообщений Банка России.</w:t>
      </w:r>
    </w:p>
  </w:footnote>
  <w:footnote w:id="10">
    <w:p w14:paraId="04F4C1B4" w14:textId="77777777" w:rsidR="00795048" w:rsidRDefault="00862097">
      <w:pPr>
        <w:pStyle w:val="a4"/>
        <w:shd w:val="clear" w:color="auto" w:fill="auto"/>
        <w:tabs>
          <w:tab w:val="left" w:pos="206"/>
        </w:tabs>
        <w:jc w:val="both"/>
      </w:pPr>
      <w:r>
        <w:rPr>
          <w:vertAlign w:val="superscript"/>
        </w:rPr>
        <w:footnoteRef/>
      </w:r>
      <w:r>
        <w:tab/>
        <w:t>Федеральный закон от 19.12.2023 № 602-ФЗ «О внесении изменений в статью 155 Жилищного кодекса Российской Федерации и отдельные законодательные акты Российской Федерации».</w:t>
      </w:r>
    </w:p>
  </w:footnote>
  <w:footnote w:id="11">
    <w:p w14:paraId="3CB7CE36" w14:textId="77777777" w:rsidR="00795048" w:rsidRDefault="00862097">
      <w:pPr>
        <w:pStyle w:val="a4"/>
        <w:shd w:val="clear" w:color="auto" w:fill="auto"/>
        <w:tabs>
          <w:tab w:val="left" w:pos="192"/>
        </w:tabs>
        <w:jc w:val="both"/>
      </w:pPr>
      <w:r>
        <w:rPr>
          <w:vertAlign w:val="superscript"/>
        </w:rPr>
        <w:footnoteRef/>
      </w:r>
      <w:r>
        <w:tab/>
        <w:t>платы за жилое помещение и коммунальные услуги, пеней за несвоевременное и (или) неполное внесение платы за жилое помещение и коммунальные услуги.</w:t>
      </w:r>
    </w:p>
  </w:footnote>
  <w:footnote w:id="12">
    <w:p w14:paraId="726ED3D1" w14:textId="77777777" w:rsidR="00795048" w:rsidRDefault="00862097">
      <w:pPr>
        <w:pStyle w:val="a4"/>
        <w:shd w:val="clear" w:color="auto" w:fill="auto"/>
        <w:tabs>
          <w:tab w:val="left" w:pos="192"/>
        </w:tabs>
      </w:pPr>
      <w:r>
        <w:rPr>
          <w:vertAlign w:val="superscript"/>
        </w:rPr>
        <w:footnoteRef/>
      </w:r>
      <w:r>
        <w:tab/>
        <w:t>перечень категорий таких физических лиц устанавливается Правительством Российской Федерации.</w:t>
      </w:r>
    </w:p>
  </w:footnote>
  <w:footnote w:id="13">
    <w:p w14:paraId="20C0EFD7" w14:textId="77777777" w:rsidR="0084251E" w:rsidRPr="0084251E" w:rsidRDefault="0084251E">
      <w:pPr>
        <w:pStyle w:val="a6"/>
        <w:rPr>
          <w:rFonts w:ascii="Times New Roman" w:hAnsi="Times New Roman" w:cs="Times New Roman"/>
          <w:sz w:val="22"/>
          <w:szCs w:val="22"/>
        </w:rPr>
      </w:pPr>
      <w:r w:rsidRPr="0084251E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84251E">
        <w:rPr>
          <w:rFonts w:ascii="Times New Roman" w:hAnsi="Times New Roman" w:cs="Times New Roman"/>
          <w:sz w:val="22"/>
          <w:szCs w:val="22"/>
        </w:rPr>
        <w:t xml:space="preserve"> Положение Банка России от 24.09.2020 № 732-П «О платежной системе Банка России».</w:t>
      </w:r>
    </w:p>
  </w:footnote>
  <w:footnote w:id="14">
    <w:p w14:paraId="24BDC8C6" w14:textId="77777777" w:rsidR="000F41E4" w:rsidRPr="000F41E4" w:rsidRDefault="000F41E4" w:rsidP="000F41E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F41E4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0F41E4">
        <w:rPr>
          <w:rFonts w:ascii="Times New Roman" w:hAnsi="Times New Roman" w:cs="Times New Roman"/>
          <w:sz w:val="22"/>
          <w:szCs w:val="22"/>
        </w:rPr>
        <w:t xml:space="preserve"> Письмо Банка России от 01.07.2013 № 124-Т «О применении платежных поручений на общую сумму с реестром».</w:t>
      </w:r>
    </w:p>
  </w:footnote>
  <w:footnote w:id="15">
    <w:p w14:paraId="1FCC1A37" w14:textId="77777777" w:rsidR="007642BB" w:rsidRDefault="007642BB" w:rsidP="007642BB">
      <w:pPr>
        <w:pStyle w:val="a4"/>
        <w:shd w:val="clear" w:color="auto" w:fill="auto"/>
        <w:tabs>
          <w:tab w:val="left" w:pos="115"/>
        </w:tabs>
        <w:spacing w:line="264" w:lineRule="auto"/>
        <w:jc w:val="both"/>
      </w:pPr>
      <w:r>
        <w:rPr>
          <w:vertAlign w:val="superscript"/>
        </w:rPr>
        <w:footnoteRef/>
      </w:r>
      <w:r>
        <w:t xml:space="preserve"> Федеральный закон от 21.07.2014 № 209-ФЗ «О государственной информационной системе жилищно-коммунального хозяйства».</w:t>
      </w:r>
    </w:p>
  </w:footnote>
  <w:footnote w:id="16">
    <w:p w14:paraId="741671FD" w14:textId="77777777" w:rsidR="007642BB" w:rsidRPr="007642BB" w:rsidRDefault="007642BB" w:rsidP="007642B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7642BB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7642BB">
        <w:rPr>
          <w:rFonts w:ascii="Times New Roman" w:hAnsi="Times New Roman" w:cs="Times New Roman"/>
          <w:sz w:val="22"/>
          <w:szCs w:val="22"/>
        </w:rPr>
        <w:t xml:space="preserve"> Распоряжение Правительства Российской Федерации от 20.01.2022 № 34-р «Об определении АО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7642BB">
        <w:rPr>
          <w:rFonts w:ascii="Times New Roman" w:hAnsi="Times New Roman" w:cs="Times New Roman"/>
          <w:sz w:val="22"/>
          <w:szCs w:val="22"/>
        </w:rPr>
        <w:t>«Оператор информационной системы» оператором государственной информационной системы жилищно-коммунального хозяйства».</w:t>
      </w:r>
    </w:p>
  </w:footnote>
  <w:footnote w:id="17">
    <w:p w14:paraId="1C1FF817" w14:textId="77777777" w:rsidR="00795048" w:rsidRDefault="00862097">
      <w:pPr>
        <w:pStyle w:val="a4"/>
        <w:shd w:val="clear" w:color="auto" w:fill="auto"/>
        <w:tabs>
          <w:tab w:val="left" w:pos="331"/>
        </w:tabs>
        <w:spacing w:line="259" w:lineRule="auto"/>
      </w:pPr>
      <w:r>
        <w:rPr>
          <w:vertAlign w:val="superscript"/>
        </w:rPr>
        <w:footnoteRef/>
      </w:r>
      <w:r>
        <w:tab/>
        <w:t>Федеральный закон от 27.07.2010 № 210-ФЗ «Об организации предоставления государственных и муниципальных услуг».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C57C1"/>
    <w:multiLevelType w:val="multilevel"/>
    <w:tmpl w:val="A8DA4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657DBD"/>
    <w:multiLevelType w:val="multilevel"/>
    <w:tmpl w:val="2BD05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48"/>
    <w:rsid w:val="00007155"/>
    <w:rsid w:val="00051ACE"/>
    <w:rsid w:val="000630DD"/>
    <w:rsid w:val="0007017B"/>
    <w:rsid w:val="00092EBD"/>
    <w:rsid w:val="000B28AB"/>
    <w:rsid w:val="000C0DEA"/>
    <w:rsid w:val="000E2ED6"/>
    <w:rsid w:val="000F41E4"/>
    <w:rsid w:val="000F420B"/>
    <w:rsid w:val="00122D99"/>
    <w:rsid w:val="00134F98"/>
    <w:rsid w:val="00154DF7"/>
    <w:rsid w:val="00192A38"/>
    <w:rsid w:val="001A0B11"/>
    <w:rsid w:val="001A6172"/>
    <w:rsid w:val="001C735D"/>
    <w:rsid w:val="001D1EF8"/>
    <w:rsid w:val="001D6978"/>
    <w:rsid w:val="00241724"/>
    <w:rsid w:val="002516A3"/>
    <w:rsid w:val="002528EB"/>
    <w:rsid w:val="0025723D"/>
    <w:rsid w:val="002851E2"/>
    <w:rsid w:val="002D53B3"/>
    <w:rsid w:val="002D5AD2"/>
    <w:rsid w:val="002D7215"/>
    <w:rsid w:val="002E01D2"/>
    <w:rsid w:val="002E0837"/>
    <w:rsid w:val="002F1DD2"/>
    <w:rsid w:val="003042B3"/>
    <w:rsid w:val="003353E0"/>
    <w:rsid w:val="003427CD"/>
    <w:rsid w:val="003701F4"/>
    <w:rsid w:val="00374BE2"/>
    <w:rsid w:val="003778F4"/>
    <w:rsid w:val="00395F9F"/>
    <w:rsid w:val="003D743C"/>
    <w:rsid w:val="003E4812"/>
    <w:rsid w:val="003F4B4D"/>
    <w:rsid w:val="004107A9"/>
    <w:rsid w:val="00411F76"/>
    <w:rsid w:val="004152B2"/>
    <w:rsid w:val="00431F61"/>
    <w:rsid w:val="00433C81"/>
    <w:rsid w:val="00435DDE"/>
    <w:rsid w:val="004373C5"/>
    <w:rsid w:val="00466128"/>
    <w:rsid w:val="00511AC5"/>
    <w:rsid w:val="00574C73"/>
    <w:rsid w:val="005C00E8"/>
    <w:rsid w:val="005C211D"/>
    <w:rsid w:val="005C5693"/>
    <w:rsid w:val="005C5EA5"/>
    <w:rsid w:val="00650D55"/>
    <w:rsid w:val="00683B72"/>
    <w:rsid w:val="006C6672"/>
    <w:rsid w:val="006D5B7F"/>
    <w:rsid w:val="006F3811"/>
    <w:rsid w:val="00704EE4"/>
    <w:rsid w:val="00721702"/>
    <w:rsid w:val="00721D64"/>
    <w:rsid w:val="00724417"/>
    <w:rsid w:val="00744FA7"/>
    <w:rsid w:val="007642BB"/>
    <w:rsid w:val="00773B9D"/>
    <w:rsid w:val="00795048"/>
    <w:rsid w:val="007C4507"/>
    <w:rsid w:val="007D483B"/>
    <w:rsid w:val="007E3062"/>
    <w:rsid w:val="0084251E"/>
    <w:rsid w:val="00862097"/>
    <w:rsid w:val="00866CAB"/>
    <w:rsid w:val="008C0282"/>
    <w:rsid w:val="008D794A"/>
    <w:rsid w:val="009028A2"/>
    <w:rsid w:val="009C1464"/>
    <w:rsid w:val="009D0546"/>
    <w:rsid w:val="009D67D4"/>
    <w:rsid w:val="009E6CE1"/>
    <w:rsid w:val="009F3DE9"/>
    <w:rsid w:val="00A07CF7"/>
    <w:rsid w:val="00A129D2"/>
    <w:rsid w:val="00A16404"/>
    <w:rsid w:val="00A24992"/>
    <w:rsid w:val="00A26AEC"/>
    <w:rsid w:val="00A41FB1"/>
    <w:rsid w:val="00A45487"/>
    <w:rsid w:val="00A52527"/>
    <w:rsid w:val="00A913B5"/>
    <w:rsid w:val="00AB1D00"/>
    <w:rsid w:val="00AB1F27"/>
    <w:rsid w:val="00AC32A7"/>
    <w:rsid w:val="00AD29C5"/>
    <w:rsid w:val="00AE6F4D"/>
    <w:rsid w:val="00B150BD"/>
    <w:rsid w:val="00B76435"/>
    <w:rsid w:val="00B95440"/>
    <w:rsid w:val="00BC143E"/>
    <w:rsid w:val="00BD50F3"/>
    <w:rsid w:val="00BE6AF0"/>
    <w:rsid w:val="00C2055A"/>
    <w:rsid w:val="00C302D9"/>
    <w:rsid w:val="00C4092A"/>
    <w:rsid w:val="00CB7090"/>
    <w:rsid w:val="00CE0467"/>
    <w:rsid w:val="00D1142A"/>
    <w:rsid w:val="00D32359"/>
    <w:rsid w:val="00D45CC6"/>
    <w:rsid w:val="00D97506"/>
    <w:rsid w:val="00DA2C8F"/>
    <w:rsid w:val="00DF3BB5"/>
    <w:rsid w:val="00E21859"/>
    <w:rsid w:val="00E3503E"/>
    <w:rsid w:val="00E54217"/>
    <w:rsid w:val="00EC0F7C"/>
    <w:rsid w:val="00EC48DA"/>
    <w:rsid w:val="00F5226C"/>
    <w:rsid w:val="00F90244"/>
    <w:rsid w:val="00FA19B0"/>
    <w:rsid w:val="00FA31E9"/>
    <w:rsid w:val="00F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0DA9"/>
  <w15:docId w15:val="{7DF57653-73AA-4126-A05D-FF3C3896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2F1DD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F1DD2"/>
    <w:rPr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F1DD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3701F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D794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701F4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701F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701F4"/>
    <w:rPr>
      <w:b/>
      <w:bCs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701F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01F4"/>
    <w:rPr>
      <w:rFonts w:ascii="Segoe UI" w:hAnsi="Segoe UI" w:cs="Segoe UI"/>
      <w:color w:val="000000"/>
      <w:sz w:val="18"/>
      <w:szCs w:val="18"/>
    </w:rPr>
  </w:style>
  <w:style w:type="paragraph" w:styleId="af0">
    <w:name w:val="Normal (Web)"/>
    <w:basedOn w:val="a"/>
    <w:uiPriority w:val="99"/>
    <w:unhideWhenUsed/>
    <w:rsid w:val="00AB1D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header"/>
    <w:basedOn w:val="a"/>
    <w:link w:val="af2"/>
    <w:uiPriority w:val="99"/>
    <w:unhideWhenUsed/>
    <w:rsid w:val="008D794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D794A"/>
    <w:rPr>
      <w:color w:val="000000"/>
    </w:rPr>
  </w:style>
  <w:style w:type="paragraph" w:styleId="af3">
    <w:name w:val="Revision"/>
    <w:hidden/>
    <w:uiPriority w:val="99"/>
    <w:semiHidden/>
    <w:rsid w:val="008D794A"/>
    <w:pPr>
      <w:widowControl/>
    </w:pPr>
    <w:rPr>
      <w:color w:val="000000"/>
    </w:rPr>
  </w:style>
  <w:style w:type="paragraph" w:styleId="af4">
    <w:name w:val="footer"/>
    <w:basedOn w:val="a"/>
    <w:link w:val="af5"/>
    <w:uiPriority w:val="99"/>
    <w:unhideWhenUsed/>
    <w:rsid w:val="006D5B7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D5B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4631C-F4D3-4BB2-AB3B-BFCF30D7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3279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21931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Перестенко Олег Васильевич</dc:creator>
  <cp:lastModifiedBy>Бакина Алла Станиславовна</cp:lastModifiedBy>
  <cp:revision>12</cp:revision>
  <dcterms:created xsi:type="dcterms:W3CDTF">2024-05-06T09:51:00Z</dcterms:created>
  <dcterms:modified xsi:type="dcterms:W3CDTF">2024-05-24T19:47:00Z</dcterms:modified>
</cp:coreProperties>
</file>